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AC4A6" w14:textId="49CDE738" w:rsidR="00E90E49" w:rsidRPr="0036208A" w:rsidRDefault="00E90E49" w:rsidP="00496476">
      <w:pPr>
        <w:pStyle w:val="3GPPHeader"/>
        <w:spacing w:after="0"/>
        <w:rPr>
          <w:sz w:val="32"/>
          <w:szCs w:val="32"/>
          <w:highlight w:val="yellow"/>
        </w:rPr>
      </w:pPr>
      <w:r w:rsidRPr="0036208A">
        <w:t>3GPP TSG-RAN WG</w:t>
      </w:r>
      <w:r w:rsidR="008F1C4E" w:rsidRPr="0036208A">
        <w:t>1</w:t>
      </w:r>
      <w:r w:rsidRPr="0036208A">
        <w:t xml:space="preserve"> </w:t>
      </w:r>
      <w:r w:rsidR="008F1C4E" w:rsidRPr="0036208A">
        <w:t xml:space="preserve">Meeting </w:t>
      </w:r>
      <w:r w:rsidRPr="0036208A">
        <w:t>#</w:t>
      </w:r>
      <w:r w:rsidR="006B23DE" w:rsidRPr="0036208A">
        <w:t>104-e</w:t>
      </w:r>
      <w:r w:rsidRPr="0036208A">
        <w:tab/>
      </w:r>
      <w:r w:rsidR="00091557" w:rsidRPr="0036208A">
        <w:rPr>
          <w:sz w:val="32"/>
          <w:szCs w:val="32"/>
        </w:rPr>
        <w:t>R</w:t>
      </w:r>
      <w:r w:rsidR="008F1C4E" w:rsidRPr="0036208A">
        <w:rPr>
          <w:sz w:val="32"/>
          <w:szCs w:val="32"/>
        </w:rPr>
        <w:t>1</w:t>
      </w:r>
      <w:r w:rsidR="00091557" w:rsidRPr="0036208A">
        <w:rPr>
          <w:sz w:val="32"/>
          <w:szCs w:val="32"/>
        </w:rPr>
        <w:t>-</w:t>
      </w:r>
      <w:r w:rsidR="00CF5528" w:rsidRPr="0036208A">
        <w:rPr>
          <w:sz w:val="32"/>
          <w:szCs w:val="32"/>
        </w:rPr>
        <w:t>2</w:t>
      </w:r>
      <w:r w:rsidR="00C77D9E" w:rsidRPr="0036208A">
        <w:rPr>
          <w:sz w:val="32"/>
          <w:szCs w:val="32"/>
        </w:rPr>
        <w:t>101695</w:t>
      </w:r>
    </w:p>
    <w:p w14:paraId="1AC6BE1E" w14:textId="417A79CA" w:rsidR="00E90E49" w:rsidRPr="0036208A" w:rsidRDefault="008D1494" w:rsidP="00496476">
      <w:pPr>
        <w:pStyle w:val="3GPPHeader"/>
      </w:pPr>
      <w:proofErr w:type="spellStart"/>
      <w:r w:rsidRPr="0036208A">
        <w:t>eMeeting</w:t>
      </w:r>
      <w:proofErr w:type="spellEnd"/>
      <w:r w:rsidR="0027144F" w:rsidRPr="0036208A">
        <w:t xml:space="preserve">, </w:t>
      </w:r>
      <w:r w:rsidRPr="0036208A">
        <w:t>January</w:t>
      </w:r>
      <w:r w:rsidR="0027144F" w:rsidRPr="0036208A">
        <w:t xml:space="preserve"> </w:t>
      </w:r>
      <w:r w:rsidRPr="0036208A">
        <w:t>25</w:t>
      </w:r>
      <w:r w:rsidR="001D53E7" w:rsidRPr="0036208A">
        <w:rPr>
          <w:vertAlign w:val="superscript"/>
        </w:rPr>
        <w:t>th</w:t>
      </w:r>
      <w:r w:rsidR="001D53E7" w:rsidRPr="0036208A">
        <w:t xml:space="preserve"> – </w:t>
      </w:r>
      <w:r w:rsidRPr="0036208A">
        <w:t>February 5</w:t>
      </w:r>
      <w:r w:rsidR="001D53E7" w:rsidRPr="0036208A">
        <w:rPr>
          <w:vertAlign w:val="superscript"/>
        </w:rPr>
        <w:t>th</w:t>
      </w:r>
      <w:r w:rsidR="00BE1369" w:rsidRPr="0036208A">
        <w:t>, 2021</w:t>
      </w:r>
    </w:p>
    <w:p w14:paraId="55784603" w14:textId="77777777" w:rsidR="00E90E49" w:rsidRPr="0036208A" w:rsidRDefault="00E90E49" w:rsidP="00496476">
      <w:pPr>
        <w:pStyle w:val="3GPPHeader"/>
      </w:pPr>
    </w:p>
    <w:p w14:paraId="0222CC04" w14:textId="3465A51F" w:rsidR="00E90E49" w:rsidRPr="0036208A" w:rsidRDefault="00E90E49" w:rsidP="00496476">
      <w:pPr>
        <w:pStyle w:val="3GPPHeader"/>
      </w:pPr>
      <w:r w:rsidRPr="0036208A">
        <w:t>Agenda Item:</w:t>
      </w:r>
      <w:r w:rsidRPr="0036208A">
        <w:tab/>
      </w:r>
      <w:r w:rsidR="006B23DE" w:rsidRPr="0036208A">
        <w:t>8.10.</w:t>
      </w:r>
      <w:r w:rsidR="00AA635A" w:rsidRPr="0036208A">
        <w:t>1</w:t>
      </w:r>
    </w:p>
    <w:p w14:paraId="0BF970A6" w14:textId="77777777" w:rsidR="00E90E49" w:rsidRPr="0036208A" w:rsidRDefault="003D3C45" w:rsidP="00496476">
      <w:pPr>
        <w:pStyle w:val="3GPPHeader"/>
      </w:pPr>
      <w:r w:rsidRPr="0036208A">
        <w:t>Source:</w:t>
      </w:r>
      <w:r w:rsidR="00E90E49" w:rsidRPr="0036208A">
        <w:tab/>
      </w:r>
      <w:r w:rsidR="00F64C2B" w:rsidRPr="0036208A">
        <w:t>Ericsson</w:t>
      </w:r>
    </w:p>
    <w:p w14:paraId="7B6356D0" w14:textId="7DB8F7BF" w:rsidR="00E90E49" w:rsidRPr="0036208A" w:rsidRDefault="003D3C45" w:rsidP="00496476">
      <w:pPr>
        <w:pStyle w:val="3GPPHeader"/>
      </w:pPr>
      <w:r w:rsidRPr="0036208A">
        <w:t>Title:</w:t>
      </w:r>
      <w:r w:rsidR="00E90E49" w:rsidRPr="0036208A">
        <w:tab/>
      </w:r>
      <w:r w:rsidR="00AA635A" w:rsidRPr="0036208A">
        <w:t>Resource multiplexing and DC in enhanced IAB</w:t>
      </w:r>
    </w:p>
    <w:p w14:paraId="2D065779" w14:textId="77777777" w:rsidR="00E90E49" w:rsidRPr="0036208A" w:rsidRDefault="00E90E49" w:rsidP="00496476">
      <w:pPr>
        <w:pStyle w:val="3GPPHeader"/>
      </w:pPr>
      <w:r w:rsidRPr="0036208A">
        <w:t>Document for:</w:t>
      </w:r>
      <w:r w:rsidRPr="0036208A">
        <w:tab/>
        <w:t>Discussion, Decision</w:t>
      </w:r>
    </w:p>
    <w:p w14:paraId="6756997E" w14:textId="77777777" w:rsidR="00E90E49" w:rsidRPr="0036208A" w:rsidRDefault="00E90E49" w:rsidP="00496476">
      <w:pPr>
        <w:jc w:val="both"/>
      </w:pPr>
    </w:p>
    <w:p w14:paraId="004B5D21" w14:textId="4DF6517E" w:rsidR="00E90E49" w:rsidRPr="0036208A" w:rsidRDefault="00E90E49" w:rsidP="00496476">
      <w:pPr>
        <w:pStyle w:val="Heading1"/>
        <w:jc w:val="both"/>
        <w:rPr>
          <w:lang w:val="en-US"/>
        </w:rPr>
      </w:pPr>
      <w:r w:rsidRPr="0036208A">
        <w:rPr>
          <w:lang w:val="en-US"/>
        </w:rPr>
        <w:t>Introduction</w:t>
      </w:r>
    </w:p>
    <w:p w14:paraId="78CB4F3A" w14:textId="0F0F245B" w:rsidR="000C46E8" w:rsidRPr="0036208A" w:rsidRDefault="000C46E8" w:rsidP="00496476">
      <w:pPr>
        <w:pStyle w:val="BodyText"/>
        <w:rPr>
          <w:rFonts w:cs="Arial"/>
          <w:sz w:val="20"/>
          <w:szCs w:val="20"/>
        </w:rPr>
      </w:pPr>
      <w:r w:rsidRPr="0036208A">
        <w:rPr>
          <w:rFonts w:cs="Arial"/>
          <w:sz w:val="20"/>
          <w:szCs w:val="20"/>
        </w:rPr>
        <w:t>In RAN #88e, the following objectives of IAB work item regarding resource multiplexing were agreed</w:t>
      </w:r>
      <w:r w:rsidR="004F538E" w:rsidRPr="0036208A">
        <w:rPr>
          <w:rFonts w:cs="Arial"/>
          <w:sz w:val="20"/>
          <w:szCs w:val="20"/>
        </w:rPr>
        <w:t xml:space="preserve"> </w:t>
      </w:r>
      <w:r w:rsidR="004F538E" w:rsidRPr="0036208A">
        <w:rPr>
          <w:rFonts w:cs="Arial"/>
          <w:sz w:val="20"/>
          <w:szCs w:val="20"/>
        </w:rPr>
        <w:fldChar w:fldCharType="begin"/>
      </w:r>
      <w:r w:rsidR="004F538E" w:rsidRPr="0036208A">
        <w:rPr>
          <w:rFonts w:cs="Arial"/>
          <w:sz w:val="20"/>
          <w:szCs w:val="20"/>
        </w:rPr>
        <w:instrText xml:space="preserve"> REF _Ref534962701 \r \h </w:instrText>
      </w:r>
      <w:r w:rsidR="00BF1207" w:rsidRPr="0036208A">
        <w:rPr>
          <w:rFonts w:cs="Arial"/>
          <w:sz w:val="20"/>
          <w:szCs w:val="20"/>
        </w:rPr>
        <w:instrText xml:space="preserve"> \* MERGEFORMAT </w:instrText>
      </w:r>
      <w:r w:rsidR="004F538E" w:rsidRPr="0036208A">
        <w:rPr>
          <w:rFonts w:cs="Arial"/>
          <w:sz w:val="20"/>
          <w:szCs w:val="20"/>
        </w:rPr>
      </w:r>
      <w:r w:rsidR="004F538E" w:rsidRPr="0036208A">
        <w:rPr>
          <w:rFonts w:cs="Arial"/>
          <w:sz w:val="20"/>
          <w:szCs w:val="20"/>
        </w:rPr>
        <w:fldChar w:fldCharType="separate"/>
      </w:r>
      <w:r w:rsidR="009C0672">
        <w:rPr>
          <w:rFonts w:cs="Arial"/>
          <w:sz w:val="20"/>
          <w:szCs w:val="20"/>
        </w:rPr>
        <w:t>[1]</w:t>
      </w:r>
      <w:r w:rsidR="004F538E" w:rsidRPr="0036208A">
        <w:rPr>
          <w:rFonts w:cs="Arial"/>
          <w:sz w:val="20"/>
          <w:szCs w:val="20"/>
        </w:rPr>
        <w:fldChar w:fldCharType="end"/>
      </w:r>
      <w:r w:rsidRPr="0036208A">
        <w:rPr>
          <w:rFonts w:cs="Arial"/>
          <w:sz w:val="20"/>
          <w:szCs w:val="20"/>
        </w:rPr>
        <w:t>:</w:t>
      </w:r>
    </w:p>
    <w:tbl>
      <w:tblPr>
        <w:tblStyle w:val="TableGrid"/>
        <w:tblW w:w="0" w:type="auto"/>
        <w:tblLook w:val="04A0" w:firstRow="1" w:lastRow="0" w:firstColumn="1" w:lastColumn="0" w:noHBand="0" w:noVBand="1"/>
      </w:tblPr>
      <w:tblGrid>
        <w:gridCol w:w="9629"/>
      </w:tblGrid>
      <w:tr w:rsidR="000C46E8" w:rsidRPr="0036208A" w14:paraId="16D9207E" w14:textId="77777777" w:rsidTr="00A010C0">
        <w:tc>
          <w:tcPr>
            <w:tcW w:w="9629" w:type="dxa"/>
          </w:tcPr>
          <w:p w14:paraId="2AAB62B3" w14:textId="77777777" w:rsidR="000C46E8" w:rsidRPr="0036208A" w:rsidRDefault="000C46E8" w:rsidP="00496476">
            <w:pPr>
              <w:pStyle w:val="ListParagraph"/>
              <w:numPr>
                <w:ilvl w:val="0"/>
                <w:numId w:val="24"/>
              </w:numPr>
              <w:spacing w:before="120" w:after="180"/>
              <w:contextualSpacing/>
              <w:jc w:val="both"/>
              <w:rPr>
                <w:rFonts w:ascii="Arial" w:hAnsi="Arial" w:cs="Arial"/>
                <w:sz w:val="20"/>
                <w:szCs w:val="20"/>
                <w:lang w:val="en-US"/>
              </w:rPr>
            </w:pPr>
            <w:r w:rsidRPr="0036208A">
              <w:rPr>
                <w:rFonts w:ascii="Arial" w:hAnsi="Arial" w:cs="Arial"/>
                <w:sz w:val="20"/>
                <w:szCs w:val="20"/>
                <w:lang w:val="en-US"/>
              </w:rPr>
              <w:t>Specification of enhancements to the resource multiplexing between child and parent links of an IAB node, including:</w:t>
            </w:r>
          </w:p>
          <w:p w14:paraId="0BF645F9" w14:textId="77777777" w:rsidR="000C46E8" w:rsidRPr="0036208A" w:rsidRDefault="000C46E8" w:rsidP="00496476">
            <w:pPr>
              <w:pStyle w:val="ListParagraph"/>
              <w:numPr>
                <w:ilvl w:val="1"/>
                <w:numId w:val="24"/>
              </w:numPr>
              <w:spacing w:before="120" w:after="180"/>
              <w:contextualSpacing/>
              <w:jc w:val="both"/>
              <w:rPr>
                <w:rFonts w:ascii="Arial" w:hAnsi="Arial" w:cs="Arial"/>
                <w:sz w:val="20"/>
                <w:szCs w:val="20"/>
                <w:lang w:val="en-US"/>
              </w:rPr>
            </w:pPr>
            <w:r w:rsidRPr="0036208A">
              <w:rPr>
                <w:rFonts w:ascii="Arial" w:hAnsi="Arial" w:cs="Arial"/>
                <w:sz w:val="20"/>
                <w:szCs w:val="20"/>
                <w:lang w:val="en-US"/>
              </w:rPr>
              <w:t>Support of simultaneous operation (transmission and/or reception) of IAB-node’s child and parent links (i.e., MT Tx/DU Tx, MT Tx/DU Rx, MT Rx/DU Tx, MT Rx/DU Rx).</w:t>
            </w:r>
          </w:p>
          <w:p w14:paraId="01E705E0" w14:textId="77777777" w:rsidR="000C46E8" w:rsidRPr="0036208A" w:rsidRDefault="000C46E8" w:rsidP="00496476">
            <w:pPr>
              <w:pStyle w:val="ListParagraph"/>
              <w:numPr>
                <w:ilvl w:val="1"/>
                <w:numId w:val="24"/>
              </w:numPr>
              <w:spacing w:before="120" w:after="180"/>
              <w:contextualSpacing/>
              <w:jc w:val="both"/>
              <w:rPr>
                <w:rFonts w:ascii="Arial" w:hAnsi="Arial" w:cs="Arial"/>
                <w:sz w:val="20"/>
                <w:szCs w:val="20"/>
                <w:lang w:val="en-US"/>
              </w:rPr>
            </w:pPr>
            <w:bookmarkStart w:id="0" w:name="_Hlk61036592"/>
            <w:r w:rsidRPr="0036208A">
              <w:rPr>
                <w:rFonts w:ascii="Arial" w:hAnsi="Arial" w:cs="Arial"/>
                <w:sz w:val="20"/>
                <w:szCs w:val="20"/>
                <w:lang w:val="en-US"/>
              </w:rPr>
              <w:t>Support for dual-connectivity scenarios defined by RAN2/RAN3 in the context of topology redundancy for improved robustness and load balancing.</w:t>
            </w:r>
            <w:bookmarkEnd w:id="0"/>
          </w:p>
        </w:tc>
      </w:tr>
    </w:tbl>
    <w:p w14:paraId="291A285F" w14:textId="5A5DCCEB" w:rsidR="005C4E6B" w:rsidRPr="0036208A" w:rsidRDefault="005C4E6B" w:rsidP="00496476">
      <w:pPr>
        <w:pStyle w:val="BodyText"/>
        <w:spacing w:before="240"/>
        <w:rPr>
          <w:rFonts w:cs="Arial"/>
          <w:sz w:val="20"/>
          <w:szCs w:val="20"/>
        </w:rPr>
      </w:pPr>
      <w:r w:rsidRPr="0036208A">
        <w:rPr>
          <w:rFonts w:cs="Arial"/>
          <w:sz w:val="20"/>
          <w:szCs w:val="20"/>
        </w:rPr>
        <w:t>In this contribution, we present our views on the potential enhancements to IAB-DU and IAB-MT multiplexing configuration</w:t>
      </w:r>
      <w:r w:rsidR="00BF1207" w:rsidRPr="0036208A">
        <w:rPr>
          <w:rFonts w:cs="Arial"/>
          <w:sz w:val="20"/>
          <w:szCs w:val="20"/>
        </w:rPr>
        <w:t>s</w:t>
      </w:r>
      <w:r w:rsidRPr="0036208A">
        <w:rPr>
          <w:rFonts w:cs="Arial"/>
          <w:sz w:val="20"/>
          <w:szCs w:val="20"/>
        </w:rPr>
        <w:t>, regarding simultaneous operations and the dual-parent scenarios.</w:t>
      </w:r>
      <w:r w:rsidR="009605AE" w:rsidRPr="0036208A">
        <w:rPr>
          <w:rFonts w:cs="Arial"/>
          <w:sz w:val="20"/>
          <w:szCs w:val="20"/>
        </w:rPr>
        <w:t xml:space="preserve"> Please see </w:t>
      </w:r>
      <w:r w:rsidR="009605AE" w:rsidRPr="0036208A">
        <w:rPr>
          <w:rFonts w:cs="Arial"/>
          <w:sz w:val="20"/>
          <w:szCs w:val="20"/>
        </w:rPr>
        <w:fldChar w:fldCharType="begin"/>
      </w:r>
      <w:r w:rsidR="009605AE" w:rsidRPr="0036208A">
        <w:rPr>
          <w:rFonts w:cs="Arial"/>
          <w:sz w:val="20"/>
          <w:szCs w:val="20"/>
        </w:rPr>
        <w:instrText xml:space="preserve"> REF _Ref61862761 \r \h  \* MERGEFORMAT </w:instrText>
      </w:r>
      <w:r w:rsidR="009605AE" w:rsidRPr="0036208A">
        <w:rPr>
          <w:rFonts w:cs="Arial"/>
          <w:sz w:val="20"/>
          <w:szCs w:val="20"/>
        </w:rPr>
      </w:r>
      <w:r w:rsidR="009605AE" w:rsidRPr="0036208A">
        <w:rPr>
          <w:rFonts w:cs="Arial"/>
          <w:sz w:val="20"/>
          <w:szCs w:val="20"/>
        </w:rPr>
        <w:fldChar w:fldCharType="separate"/>
      </w:r>
      <w:r w:rsidR="009C0672">
        <w:rPr>
          <w:rFonts w:cs="Arial"/>
          <w:sz w:val="20"/>
          <w:szCs w:val="20"/>
        </w:rPr>
        <w:t>[2]</w:t>
      </w:r>
      <w:r w:rsidR="009605AE" w:rsidRPr="0036208A">
        <w:rPr>
          <w:rFonts w:cs="Arial"/>
          <w:sz w:val="20"/>
          <w:szCs w:val="20"/>
        </w:rPr>
        <w:fldChar w:fldCharType="end"/>
      </w:r>
      <w:r w:rsidR="009605AE" w:rsidRPr="0036208A">
        <w:rPr>
          <w:rFonts w:cs="Arial"/>
          <w:sz w:val="20"/>
          <w:szCs w:val="20"/>
        </w:rPr>
        <w:t xml:space="preserve"> for our accompanying contribution discussing timing, interference and power control for the agreed simultaneous operation cases.</w:t>
      </w:r>
      <w:r w:rsidR="005C0747">
        <w:rPr>
          <w:rFonts w:cs="Arial"/>
          <w:sz w:val="20"/>
          <w:szCs w:val="20"/>
        </w:rPr>
        <w:t xml:space="preserve"> Furthermore, we discuss the reply </w:t>
      </w:r>
      <w:r w:rsidR="00931776">
        <w:rPr>
          <w:rFonts w:cs="Arial"/>
          <w:sz w:val="20"/>
          <w:szCs w:val="20"/>
        </w:rPr>
        <w:t>to</w:t>
      </w:r>
      <w:r w:rsidR="005C0747">
        <w:rPr>
          <w:rFonts w:cs="Arial"/>
          <w:sz w:val="20"/>
          <w:szCs w:val="20"/>
        </w:rPr>
        <w:t xml:space="preserve"> the LS from RAN3 in </w:t>
      </w:r>
      <w:r w:rsidR="00931776">
        <w:rPr>
          <w:rFonts w:cs="Arial"/>
          <w:sz w:val="20"/>
          <w:szCs w:val="20"/>
        </w:rPr>
        <w:fldChar w:fldCharType="begin"/>
      </w:r>
      <w:r w:rsidR="00931776">
        <w:rPr>
          <w:rFonts w:cs="Arial"/>
          <w:sz w:val="20"/>
          <w:szCs w:val="20"/>
        </w:rPr>
        <w:instrText xml:space="preserve"> REF _Ref61889099 \r \h </w:instrText>
      </w:r>
      <w:r w:rsidR="00931776">
        <w:rPr>
          <w:rFonts w:cs="Arial"/>
          <w:sz w:val="20"/>
          <w:szCs w:val="20"/>
        </w:rPr>
      </w:r>
      <w:r w:rsidR="00931776">
        <w:rPr>
          <w:rFonts w:cs="Arial"/>
          <w:sz w:val="20"/>
          <w:szCs w:val="20"/>
        </w:rPr>
        <w:fldChar w:fldCharType="separate"/>
      </w:r>
      <w:r w:rsidR="009C0672">
        <w:rPr>
          <w:rFonts w:cs="Arial"/>
          <w:sz w:val="20"/>
          <w:szCs w:val="20"/>
        </w:rPr>
        <w:t>[3]</w:t>
      </w:r>
      <w:r w:rsidR="00931776">
        <w:rPr>
          <w:rFonts w:cs="Arial"/>
          <w:sz w:val="20"/>
          <w:szCs w:val="20"/>
        </w:rPr>
        <w:fldChar w:fldCharType="end"/>
      </w:r>
      <w:r w:rsidR="001B2CE3">
        <w:rPr>
          <w:rFonts w:cs="Arial"/>
          <w:sz w:val="20"/>
          <w:szCs w:val="20"/>
        </w:rPr>
        <w:t>.</w:t>
      </w:r>
    </w:p>
    <w:p w14:paraId="4C7FBF18" w14:textId="4CFBFBB4" w:rsidR="00D551CE" w:rsidRPr="0036208A" w:rsidRDefault="004D36F5" w:rsidP="00496476">
      <w:pPr>
        <w:pStyle w:val="Heading1"/>
        <w:jc w:val="both"/>
        <w:rPr>
          <w:lang w:val="en-US"/>
        </w:rPr>
      </w:pPr>
      <w:r w:rsidRPr="0036208A">
        <w:rPr>
          <w:lang w:val="en-US"/>
        </w:rPr>
        <w:t>Enhancements to IAB-DU and IAB-MT configurations</w:t>
      </w:r>
    </w:p>
    <w:p w14:paraId="0C94F9C8" w14:textId="14C3C477" w:rsidR="00A36CE0" w:rsidRPr="0036208A" w:rsidRDefault="00A36CE0" w:rsidP="00496476">
      <w:pPr>
        <w:jc w:val="both"/>
        <w:rPr>
          <w:rFonts w:ascii="Arial" w:hAnsi="Arial" w:cs="Arial"/>
          <w:sz w:val="20"/>
          <w:szCs w:val="20"/>
        </w:rPr>
      </w:pPr>
      <w:r w:rsidRPr="0036208A">
        <w:rPr>
          <w:rFonts w:ascii="Arial" w:hAnsi="Arial" w:cs="Arial"/>
          <w:sz w:val="20"/>
          <w:szCs w:val="20"/>
        </w:rPr>
        <w:t>RAN1#103e agree</w:t>
      </w:r>
      <w:r w:rsidR="00B54D0F" w:rsidRPr="0036208A">
        <w:rPr>
          <w:rFonts w:ascii="Arial" w:hAnsi="Arial" w:cs="Arial"/>
          <w:sz w:val="20"/>
          <w:szCs w:val="20"/>
        </w:rPr>
        <w:t>d</w:t>
      </w:r>
      <w:r w:rsidRPr="0036208A">
        <w:rPr>
          <w:rFonts w:ascii="Arial" w:hAnsi="Arial" w:cs="Arial"/>
          <w:sz w:val="20"/>
          <w:szCs w:val="20"/>
        </w:rPr>
        <w:t xml:space="preserve"> that:</w:t>
      </w:r>
    </w:p>
    <w:tbl>
      <w:tblPr>
        <w:tblStyle w:val="TableGrid"/>
        <w:tblW w:w="0" w:type="auto"/>
        <w:tblLook w:val="04A0" w:firstRow="1" w:lastRow="0" w:firstColumn="1" w:lastColumn="0" w:noHBand="0" w:noVBand="1"/>
      </w:tblPr>
      <w:tblGrid>
        <w:gridCol w:w="9629"/>
      </w:tblGrid>
      <w:tr w:rsidR="00A36CE0" w:rsidRPr="0036208A" w14:paraId="44EB0E83" w14:textId="77777777" w:rsidTr="00A010C0">
        <w:tc>
          <w:tcPr>
            <w:tcW w:w="9629" w:type="dxa"/>
          </w:tcPr>
          <w:p w14:paraId="4A3F3224" w14:textId="2029AF2B" w:rsidR="00A36CE0" w:rsidRPr="0036208A" w:rsidRDefault="00A36CE0" w:rsidP="00496476">
            <w:pPr>
              <w:ind w:left="1440" w:hanging="1440"/>
              <w:jc w:val="both"/>
              <w:rPr>
                <w:rFonts w:ascii="Arial" w:hAnsi="Arial" w:cs="Arial"/>
                <w:sz w:val="20"/>
                <w:szCs w:val="20"/>
                <w:lang w:eastAsia="x-none"/>
              </w:rPr>
            </w:pPr>
            <w:r w:rsidRPr="0036208A">
              <w:rPr>
                <w:rFonts w:ascii="Arial" w:hAnsi="Arial" w:cs="Arial"/>
                <w:b/>
                <w:sz w:val="20"/>
                <w:szCs w:val="20"/>
                <w:highlight w:val="green"/>
                <w:u w:val="single"/>
                <w:lang w:eastAsia="x-none"/>
              </w:rPr>
              <w:t>Agreement</w:t>
            </w:r>
            <w:r w:rsidR="006A1A46" w:rsidRPr="006A1A46">
              <w:rPr>
                <w:rFonts w:ascii="Arial" w:hAnsi="Arial" w:cs="Arial"/>
                <w:b/>
                <w:sz w:val="20"/>
                <w:szCs w:val="20"/>
                <w:highlight w:val="green"/>
                <w:u w:val="single"/>
                <w:lang w:eastAsia="x-none"/>
              </w:rPr>
              <w:t>s</w:t>
            </w:r>
            <w:r w:rsidRPr="0036208A">
              <w:rPr>
                <w:rFonts w:ascii="Arial" w:hAnsi="Arial" w:cs="Arial"/>
                <w:sz w:val="20"/>
                <w:szCs w:val="20"/>
                <w:lang w:eastAsia="x-none"/>
              </w:rPr>
              <w:t>:</w:t>
            </w:r>
          </w:p>
          <w:p w14:paraId="757369AA" w14:textId="77777777"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The Rel-16 IAB-DU resource types (Soft/Hard/NA) are the starting point for supporting resource multiplexing for simultaneous operation cases in Rel-17. </w:t>
            </w:r>
          </w:p>
          <w:p w14:paraId="67A98FBF" w14:textId="77777777" w:rsidR="00A36CE0" w:rsidRPr="0036208A" w:rsidRDefault="00A36CE0" w:rsidP="00496476">
            <w:pPr>
              <w:pStyle w:val="ListParagraph"/>
              <w:numPr>
                <w:ilvl w:val="0"/>
                <w:numId w:val="31"/>
              </w:numPr>
              <w:contextualSpacing/>
              <w:jc w:val="both"/>
              <w:rPr>
                <w:rFonts w:ascii="Arial" w:hAnsi="Arial" w:cs="Arial"/>
                <w:sz w:val="20"/>
                <w:szCs w:val="20"/>
                <w:lang w:val="en-US"/>
              </w:rPr>
            </w:pPr>
            <w:r w:rsidRPr="0036208A">
              <w:rPr>
                <w:rFonts w:ascii="Arial" w:hAnsi="Arial" w:cs="Arial"/>
                <w:sz w:val="20"/>
                <w:szCs w:val="20"/>
                <w:lang w:val="en-US"/>
              </w:rPr>
              <w:t xml:space="preserve">FFS: Whether resource type definitions need to be extended to frequency domain resources </w:t>
            </w:r>
          </w:p>
          <w:p w14:paraId="6EFC8F4A" w14:textId="77777777" w:rsidR="00A36CE0" w:rsidRPr="0036208A" w:rsidRDefault="00A36CE0" w:rsidP="00496476">
            <w:pPr>
              <w:pStyle w:val="ListParagraph"/>
              <w:numPr>
                <w:ilvl w:val="0"/>
                <w:numId w:val="31"/>
              </w:numPr>
              <w:contextualSpacing/>
              <w:jc w:val="both"/>
              <w:rPr>
                <w:rFonts w:ascii="Arial" w:hAnsi="Arial" w:cs="Arial"/>
                <w:sz w:val="20"/>
                <w:szCs w:val="20"/>
                <w:lang w:val="en-US"/>
              </w:rPr>
            </w:pPr>
            <w:r w:rsidRPr="0036208A">
              <w:rPr>
                <w:rFonts w:ascii="Arial" w:hAnsi="Arial" w:cs="Arial"/>
                <w:sz w:val="20"/>
                <w:szCs w:val="20"/>
                <w:lang w:val="en-US"/>
              </w:rPr>
              <w:t>FFS: Coexistence of simultaneous operation resources and TDM resources</w:t>
            </w:r>
          </w:p>
          <w:p w14:paraId="6A120237" w14:textId="77777777" w:rsidR="00A36CE0" w:rsidRPr="0036208A" w:rsidRDefault="00A36CE0" w:rsidP="00496476">
            <w:pPr>
              <w:pStyle w:val="ListParagraph"/>
              <w:numPr>
                <w:ilvl w:val="0"/>
                <w:numId w:val="28"/>
              </w:numPr>
              <w:contextualSpacing/>
              <w:jc w:val="both"/>
              <w:rPr>
                <w:rFonts w:ascii="Arial" w:hAnsi="Arial" w:cs="Arial"/>
                <w:sz w:val="20"/>
                <w:szCs w:val="20"/>
                <w:lang w:val="en-US"/>
              </w:rPr>
            </w:pPr>
            <w:r w:rsidRPr="0036208A">
              <w:rPr>
                <w:rFonts w:ascii="Arial" w:hAnsi="Arial" w:cs="Arial"/>
                <w:sz w:val="20"/>
                <w:szCs w:val="20"/>
                <w:lang w:val="en-US"/>
              </w:rPr>
              <w:t>FFS: Whether new rules governing cell-specific/semi-static signals and channels at the IAB-DU and/or IAB-MT in case of simultaneous operation are necessary</w:t>
            </w:r>
          </w:p>
          <w:p w14:paraId="4FEBED64" w14:textId="7A31C86E" w:rsidR="00A36CE0" w:rsidRPr="0036208A" w:rsidRDefault="00A36CE0" w:rsidP="00496476">
            <w:pPr>
              <w:jc w:val="both"/>
              <w:rPr>
                <w:rFonts w:ascii="Arial" w:hAnsi="Arial" w:cs="Arial"/>
                <w:sz w:val="20"/>
                <w:szCs w:val="20"/>
                <w:lang w:eastAsia="x-none"/>
              </w:rPr>
            </w:pPr>
            <w:r w:rsidRPr="0036208A">
              <w:rPr>
                <w:rFonts w:ascii="Arial" w:hAnsi="Arial" w:cs="Arial"/>
                <w:b/>
                <w:sz w:val="20"/>
                <w:szCs w:val="20"/>
                <w:highlight w:val="green"/>
                <w:u w:val="single"/>
                <w:lang w:eastAsia="x-none"/>
              </w:rPr>
              <w:t>Agreement</w:t>
            </w:r>
            <w:r w:rsidR="006A1A46" w:rsidRPr="006A1A46">
              <w:rPr>
                <w:rFonts w:ascii="Arial" w:hAnsi="Arial" w:cs="Arial"/>
                <w:b/>
                <w:sz w:val="20"/>
                <w:szCs w:val="20"/>
                <w:highlight w:val="green"/>
                <w:u w:val="single"/>
                <w:lang w:eastAsia="x-none"/>
              </w:rPr>
              <w:t>s</w:t>
            </w:r>
            <w:r w:rsidRPr="0036208A">
              <w:rPr>
                <w:rFonts w:ascii="Arial" w:hAnsi="Arial" w:cs="Arial"/>
                <w:sz w:val="20"/>
                <w:szCs w:val="20"/>
                <w:lang w:eastAsia="x-none"/>
              </w:rPr>
              <w:t>:</w:t>
            </w:r>
          </w:p>
          <w:p w14:paraId="28FF075F" w14:textId="77777777" w:rsidR="00A36CE0" w:rsidRPr="0036208A" w:rsidRDefault="00A36CE0" w:rsidP="00496476">
            <w:pPr>
              <w:jc w:val="both"/>
              <w:rPr>
                <w:rFonts w:ascii="Arial" w:hAnsi="Arial" w:cs="Arial"/>
                <w:sz w:val="20"/>
                <w:szCs w:val="20"/>
              </w:rPr>
            </w:pPr>
            <w:r w:rsidRPr="0036208A">
              <w:rPr>
                <w:rFonts w:ascii="Arial" w:hAnsi="Arial" w:cs="Arial"/>
                <w:sz w:val="20"/>
                <w:szCs w:val="20"/>
              </w:rPr>
              <w:t>Further consider different applicability restrictions/conditions for simultaneous operation multiplexing cases:</w:t>
            </w:r>
          </w:p>
          <w:p w14:paraId="5ACA8C85" w14:textId="77777777" w:rsidR="00A36CE0" w:rsidRPr="0036208A" w:rsidRDefault="00A36CE0" w:rsidP="00496476">
            <w:pPr>
              <w:pStyle w:val="ListParagraph"/>
              <w:numPr>
                <w:ilvl w:val="0"/>
                <w:numId w:val="32"/>
              </w:numPr>
              <w:contextualSpacing/>
              <w:jc w:val="both"/>
              <w:rPr>
                <w:rFonts w:ascii="Arial" w:hAnsi="Arial" w:cs="Arial"/>
                <w:sz w:val="20"/>
                <w:szCs w:val="20"/>
                <w:lang w:val="en-US"/>
              </w:rPr>
            </w:pPr>
            <w:r w:rsidRPr="0036208A">
              <w:rPr>
                <w:rFonts w:ascii="Arial" w:hAnsi="Arial" w:cs="Arial"/>
                <w:sz w:val="20"/>
                <w:szCs w:val="20"/>
                <w:lang w:val="en-US"/>
              </w:rPr>
              <w:t>FFS: Whether a given case is only applicable for certain resource types or combinations: e.g. DL access, DL backhaul, UL access, UL backhaul</w:t>
            </w:r>
          </w:p>
          <w:p w14:paraId="277DAF52" w14:textId="77777777" w:rsidR="00A36CE0" w:rsidRPr="0036208A" w:rsidRDefault="00A36CE0" w:rsidP="00496476">
            <w:pPr>
              <w:pStyle w:val="ListParagraph"/>
              <w:numPr>
                <w:ilvl w:val="0"/>
                <w:numId w:val="32"/>
              </w:numPr>
              <w:contextualSpacing/>
              <w:jc w:val="both"/>
              <w:rPr>
                <w:rFonts w:ascii="Arial" w:hAnsi="Arial" w:cs="Arial"/>
                <w:sz w:val="20"/>
                <w:szCs w:val="20"/>
                <w:lang w:val="en-US"/>
              </w:rPr>
            </w:pPr>
            <w:r w:rsidRPr="0036208A">
              <w:rPr>
                <w:rFonts w:ascii="Arial" w:hAnsi="Arial" w:cs="Arial"/>
                <w:sz w:val="20"/>
                <w:szCs w:val="20"/>
                <w:lang w:val="en-US"/>
              </w:rPr>
              <w:t>FFS: Network (including parent node) awareness of a child IAB node’s ability to support simultaneous operation due to short-term and long-term factors including panel selection, interference, timing, transmit power, capability indication etc.</w:t>
            </w:r>
          </w:p>
          <w:p w14:paraId="1BBBB0F0" w14:textId="77777777" w:rsidR="00A36CE0" w:rsidRPr="0036208A" w:rsidRDefault="00A36CE0" w:rsidP="00496476">
            <w:pPr>
              <w:pStyle w:val="ListParagraph"/>
              <w:numPr>
                <w:ilvl w:val="0"/>
                <w:numId w:val="32"/>
              </w:numPr>
              <w:contextualSpacing/>
              <w:jc w:val="both"/>
              <w:rPr>
                <w:rFonts w:ascii="Arial" w:hAnsi="Arial" w:cs="Arial"/>
                <w:sz w:val="20"/>
                <w:szCs w:val="20"/>
                <w:lang w:val="en-US"/>
              </w:rPr>
            </w:pPr>
            <w:r w:rsidRPr="0036208A">
              <w:rPr>
                <w:rFonts w:ascii="Arial" w:hAnsi="Arial" w:cs="Arial"/>
                <w:sz w:val="20"/>
                <w:szCs w:val="20"/>
                <w:lang w:val="en-US"/>
              </w:rPr>
              <w:lastRenderedPageBreak/>
              <w:t>FFS: Necessary differentiation for paired spectrum vs. unpaired spectrum</w:t>
            </w:r>
          </w:p>
          <w:p w14:paraId="0A7F99FE" w14:textId="77777777" w:rsidR="00A36CE0" w:rsidRPr="0036208A" w:rsidRDefault="00A36CE0" w:rsidP="00496476">
            <w:pPr>
              <w:pStyle w:val="ListParagraph"/>
              <w:numPr>
                <w:ilvl w:val="0"/>
                <w:numId w:val="32"/>
              </w:numPr>
              <w:contextualSpacing/>
              <w:jc w:val="both"/>
              <w:rPr>
                <w:rFonts w:ascii="Arial" w:hAnsi="Arial" w:cs="Arial"/>
                <w:sz w:val="20"/>
                <w:szCs w:val="20"/>
                <w:lang w:val="en-US"/>
              </w:rPr>
            </w:pPr>
            <w:r w:rsidRPr="0036208A">
              <w:rPr>
                <w:rFonts w:ascii="Arial" w:hAnsi="Arial" w:cs="Arial"/>
                <w:sz w:val="20"/>
                <w:szCs w:val="20"/>
                <w:lang w:val="en-US"/>
              </w:rPr>
              <w:t>FFS: Whether specific enhancements are defined for full-duplex cases vs. being left to implementation (as in Rel-16)</w:t>
            </w:r>
          </w:p>
          <w:p w14:paraId="5C435E98" w14:textId="77777777" w:rsidR="00A36CE0" w:rsidRPr="0036208A" w:rsidRDefault="00A36CE0" w:rsidP="00496476">
            <w:pPr>
              <w:pStyle w:val="ListParagraph"/>
              <w:numPr>
                <w:ilvl w:val="0"/>
                <w:numId w:val="32"/>
              </w:numPr>
              <w:contextualSpacing/>
              <w:jc w:val="both"/>
              <w:rPr>
                <w:rFonts w:ascii="Arial" w:hAnsi="Arial" w:cs="Arial"/>
                <w:sz w:val="20"/>
                <w:szCs w:val="20"/>
                <w:lang w:val="en-US"/>
              </w:rPr>
            </w:pPr>
            <w:r w:rsidRPr="0036208A">
              <w:rPr>
                <w:rFonts w:ascii="Arial" w:hAnsi="Arial" w:cs="Arial"/>
                <w:sz w:val="20"/>
                <w:szCs w:val="20"/>
                <w:lang w:val="en-US"/>
              </w:rPr>
              <w:t>Note: There should not be any impact on legacy UE behavior</w:t>
            </w:r>
          </w:p>
          <w:p w14:paraId="1F90C556" w14:textId="21A8B9C1" w:rsidR="00A36CE0" w:rsidRPr="0036208A" w:rsidRDefault="00A36CE0" w:rsidP="00496476">
            <w:pPr>
              <w:jc w:val="both"/>
              <w:rPr>
                <w:rFonts w:ascii="Arial" w:hAnsi="Arial" w:cs="Arial"/>
                <w:sz w:val="20"/>
                <w:szCs w:val="20"/>
                <w:lang w:eastAsia="x-none"/>
              </w:rPr>
            </w:pPr>
            <w:r w:rsidRPr="0036208A">
              <w:rPr>
                <w:rFonts w:ascii="Arial" w:hAnsi="Arial" w:cs="Arial"/>
                <w:b/>
                <w:sz w:val="20"/>
                <w:szCs w:val="20"/>
                <w:highlight w:val="green"/>
                <w:u w:val="single"/>
                <w:lang w:eastAsia="x-none"/>
              </w:rPr>
              <w:t>Agreemen</w:t>
            </w:r>
            <w:r w:rsidR="006A1A46">
              <w:rPr>
                <w:rFonts w:ascii="Arial" w:hAnsi="Arial" w:cs="Arial"/>
                <w:b/>
                <w:sz w:val="20"/>
                <w:szCs w:val="20"/>
                <w:highlight w:val="green"/>
                <w:u w:val="single"/>
                <w:lang w:eastAsia="x-none"/>
              </w:rPr>
              <w:t>ts</w:t>
            </w:r>
            <w:r w:rsidRPr="0036208A">
              <w:rPr>
                <w:rFonts w:ascii="Arial" w:hAnsi="Arial" w:cs="Arial"/>
                <w:sz w:val="20"/>
                <w:szCs w:val="20"/>
                <w:lang w:eastAsia="x-none"/>
              </w:rPr>
              <w:t>:</w:t>
            </w:r>
          </w:p>
          <w:p w14:paraId="0FEF3F19" w14:textId="77777777"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The Rel-16 explicit indication of soft resources by DCI Format 2_5 is supported for simultaneous operation cases in Rel-17. </w:t>
            </w:r>
          </w:p>
          <w:p w14:paraId="6854672A" w14:textId="77777777" w:rsidR="00A36CE0" w:rsidRPr="0036208A" w:rsidRDefault="00A36CE0" w:rsidP="00496476">
            <w:pPr>
              <w:pStyle w:val="ListParagraph"/>
              <w:numPr>
                <w:ilvl w:val="0"/>
                <w:numId w:val="33"/>
              </w:numPr>
              <w:contextualSpacing/>
              <w:jc w:val="both"/>
              <w:rPr>
                <w:rFonts w:ascii="Arial" w:hAnsi="Arial" w:cs="Arial"/>
                <w:sz w:val="20"/>
                <w:szCs w:val="20"/>
                <w:lang w:val="en-US"/>
              </w:rPr>
            </w:pPr>
            <w:r w:rsidRPr="0036208A">
              <w:rPr>
                <w:rFonts w:ascii="Arial" w:hAnsi="Arial" w:cs="Arial"/>
                <w:sz w:val="20"/>
                <w:szCs w:val="20"/>
                <w:lang w:val="en-US"/>
              </w:rPr>
              <w:t>FFS: Whether/how to extend DCI Format 2_5 to frequency domain resources and/or paired spectrum</w:t>
            </w:r>
          </w:p>
          <w:p w14:paraId="0906A23C" w14:textId="77777777" w:rsidR="00A36CE0" w:rsidRPr="0036208A" w:rsidRDefault="00A36CE0" w:rsidP="00496476">
            <w:pPr>
              <w:pStyle w:val="ListParagraph"/>
              <w:numPr>
                <w:ilvl w:val="0"/>
                <w:numId w:val="33"/>
              </w:numPr>
              <w:contextualSpacing/>
              <w:jc w:val="both"/>
              <w:rPr>
                <w:rFonts w:ascii="Arial" w:hAnsi="Arial" w:cs="Arial"/>
                <w:sz w:val="20"/>
                <w:szCs w:val="20"/>
                <w:lang w:val="en-US"/>
              </w:rPr>
            </w:pPr>
            <w:r w:rsidRPr="0036208A">
              <w:rPr>
                <w:rFonts w:ascii="Arial" w:hAnsi="Arial" w:cs="Arial"/>
                <w:sz w:val="20"/>
                <w:szCs w:val="20"/>
                <w:lang w:val="en-US"/>
              </w:rPr>
              <w:t>FFS: Coexistence of simultaneous operation resources and TDM resources</w:t>
            </w:r>
          </w:p>
          <w:p w14:paraId="5E8A8175" w14:textId="01715414" w:rsidR="00A36CE0" w:rsidRPr="0036208A" w:rsidRDefault="00A36CE0" w:rsidP="00496476">
            <w:pPr>
              <w:jc w:val="both"/>
              <w:rPr>
                <w:rFonts w:ascii="Arial" w:hAnsi="Arial" w:cs="Arial"/>
                <w:sz w:val="20"/>
                <w:szCs w:val="20"/>
              </w:rPr>
            </w:pPr>
            <w:r w:rsidRPr="0036208A">
              <w:rPr>
                <w:rFonts w:ascii="Arial" w:hAnsi="Arial" w:cs="Arial"/>
                <w:b/>
                <w:sz w:val="20"/>
                <w:szCs w:val="20"/>
                <w:highlight w:val="green"/>
                <w:u w:val="single"/>
                <w:lang w:eastAsia="x-none"/>
              </w:rPr>
              <w:t>Agreemen</w:t>
            </w:r>
            <w:r w:rsidR="006A1A46">
              <w:rPr>
                <w:rFonts w:ascii="Arial" w:hAnsi="Arial" w:cs="Arial"/>
                <w:b/>
                <w:sz w:val="20"/>
                <w:szCs w:val="20"/>
                <w:highlight w:val="green"/>
                <w:u w:val="single"/>
                <w:lang w:eastAsia="x-none"/>
              </w:rPr>
              <w:t>ts</w:t>
            </w:r>
            <w:r w:rsidRPr="0036208A">
              <w:rPr>
                <w:rFonts w:ascii="Arial" w:hAnsi="Arial" w:cs="Arial"/>
                <w:sz w:val="20"/>
                <w:szCs w:val="20"/>
                <w:lang w:eastAsia="x-none"/>
              </w:rPr>
              <w:t>:</w:t>
            </w:r>
          </w:p>
          <w:p w14:paraId="02953F0C" w14:textId="77777777" w:rsidR="00A36CE0" w:rsidRPr="0036208A" w:rsidRDefault="00A36CE0" w:rsidP="00496476">
            <w:pPr>
              <w:jc w:val="both"/>
              <w:rPr>
                <w:rFonts w:ascii="Arial" w:hAnsi="Arial" w:cs="Arial"/>
                <w:sz w:val="20"/>
                <w:szCs w:val="20"/>
              </w:rPr>
            </w:pPr>
            <w:r w:rsidRPr="0036208A">
              <w:rPr>
                <w:rFonts w:ascii="Arial" w:hAnsi="Arial" w:cs="Arial"/>
                <w:sz w:val="20"/>
                <w:szCs w:val="20"/>
              </w:rPr>
              <w:t>The explicit indication of soft resources by DCI Format 2_5 is supported for multi-parent scenarios in Rel-17.</w:t>
            </w:r>
          </w:p>
          <w:p w14:paraId="4E559968" w14:textId="01FE232F" w:rsidR="00A36CE0" w:rsidRPr="0036208A" w:rsidRDefault="00A36CE0" w:rsidP="00496476">
            <w:pPr>
              <w:pStyle w:val="ListParagraph"/>
              <w:numPr>
                <w:ilvl w:val="0"/>
                <w:numId w:val="34"/>
              </w:numPr>
              <w:contextualSpacing/>
              <w:jc w:val="both"/>
              <w:rPr>
                <w:rFonts w:ascii="Arial" w:hAnsi="Arial" w:cs="Arial"/>
                <w:sz w:val="20"/>
                <w:szCs w:val="20"/>
                <w:lang w:val="en-US"/>
              </w:rPr>
            </w:pPr>
            <w:r w:rsidRPr="0036208A">
              <w:rPr>
                <w:rFonts w:ascii="Arial" w:hAnsi="Arial" w:cs="Arial"/>
                <w:sz w:val="20"/>
                <w:szCs w:val="20"/>
                <w:lang w:val="en-US"/>
              </w:rPr>
              <w:t>FFS: Whether additional enhancements over the Rel-16 solution are needed</w:t>
            </w:r>
          </w:p>
        </w:tc>
      </w:tr>
    </w:tbl>
    <w:p w14:paraId="5EB42A48" w14:textId="77777777" w:rsidR="00A36CE0" w:rsidRPr="0036208A" w:rsidRDefault="00A36CE0" w:rsidP="00496476">
      <w:pPr>
        <w:pStyle w:val="Heading2"/>
        <w:tabs>
          <w:tab w:val="num" w:pos="576"/>
        </w:tabs>
        <w:jc w:val="both"/>
        <w:rPr>
          <w:lang w:val="en-US"/>
        </w:rPr>
      </w:pPr>
      <w:bookmarkStart w:id="1" w:name="_Ref54186745"/>
      <w:r w:rsidRPr="0036208A">
        <w:rPr>
          <w:lang w:val="en-US"/>
        </w:rPr>
        <w:lastRenderedPageBreak/>
        <w:t>H/S/NA attributes</w:t>
      </w:r>
      <w:bookmarkEnd w:id="1"/>
    </w:p>
    <w:p w14:paraId="40C6E579" w14:textId="31B33630"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In Rel-16, the reason for introducing H/S/NA configuration to DU time-domain resources in the IAB network </w:t>
      </w:r>
      <w:r w:rsidR="006B736C" w:rsidRPr="0036208A">
        <w:rPr>
          <w:rFonts w:ascii="Arial" w:hAnsi="Arial" w:cs="Arial"/>
          <w:sz w:val="20"/>
          <w:szCs w:val="20"/>
        </w:rPr>
        <w:t>wa</w:t>
      </w:r>
      <w:r w:rsidRPr="0036208A">
        <w:rPr>
          <w:rFonts w:ascii="Arial" w:hAnsi="Arial" w:cs="Arial"/>
          <w:sz w:val="20"/>
          <w:szCs w:val="20"/>
        </w:rPr>
        <w:t>s to enable intra-IAB-node MT/DU coordination in light of IAB-node half-duplex constraints and to provide higher flexibility in resource utilization between the MT and DU of an IAB-node.</w:t>
      </w:r>
    </w:p>
    <w:p w14:paraId="295E1A37" w14:textId="15A07F30" w:rsidR="00A36CE0" w:rsidRPr="0036208A" w:rsidRDefault="00A36CE0" w:rsidP="00496476">
      <w:pPr>
        <w:jc w:val="both"/>
        <w:rPr>
          <w:rFonts w:ascii="Arial" w:hAnsi="Arial" w:cs="Arial"/>
          <w:sz w:val="20"/>
          <w:szCs w:val="20"/>
        </w:rPr>
      </w:pPr>
      <w:r w:rsidRPr="0036208A">
        <w:rPr>
          <w:rFonts w:ascii="Arial" w:hAnsi="Arial" w:cs="Arial"/>
          <w:sz w:val="20"/>
          <w:szCs w:val="20"/>
        </w:rPr>
        <w:t>Rel-16 IAB-node</w:t>
      </w:r>
      <w:r w:rsidR="00740AAA" w:rsidRPr="0036208A">
        <w:rPr>
          <w:rFonts w:ascii="Arial" w:hAnsi="Arial" w:cs="Arial"/>
          <w:sz w:val="20"/>
          <w:szCs w:val="20"/>
        </w:rPr>
        <w:t>s are</w:t>
      </w:r>
      <w:r w:rsidRPr="0036208A">
        <w:rPr>
          <w:rFonts w:ascii="Arial" w:hAnsi="Arial" w:cs="Arial"/>
          <w:sz w:val="20"/>
          <w:szCs w:val="20"/>
        </w:rPr>
        <w:t xml:space="preserve"> TDM-based, i.e., a given time-domain resource is either used by</w:t>
      </w:r>
      <w:r w:rsidR="00740AAA" w:rsidRPr="0036208A">
        <w:rPr>
          <w:rFonts w:ascii="Arial" w:hAnsi="Arial" w:cs="Arial"/>
          <w:sz w:val="20"/>
          <w:szCs w:val="20"/>
        </w:rPr>
        <w:t xml:space="preserve"> the</w:t>
      </w:r>
      <w:r w:rsidRPr="0036208A">
        <w:rPr>
          <w:rFonts w:ascii="Arial" w:hAnsi="Arial" w:cs="Arial"/>
          <w:sz w:val="20"/>
          <w:szCs w:val="20"/>
        </w:rPr>
        <w:t xml:space="preserve"> IAB-MT or </w:t>
      </w:r>
      <w:r w:rsidR="00740AAA" w:rsidRPr="0036208A">
        <w:rPr>
          <w:rFonts w:ascii="Arial" w:hAnsi="Arial" w:cs="Arial"/>
          <w:sz w:val="20"/>
          <w:szCs w:val="20"/>
        </w:rPr>
        <w:t>the</w:t>
      </w:r>
      <w:r w:rsidRPr="0036208A">
        <w:rPr>
          <w:rFonts w:ascii="Arial" w:hAnsi="Arial" w:cs="Arial"/>
          <w:sz w:val="20"/>
          <w:szCs w:val="20"/>
        </w:rPr>
        <w:t xml:space="preserve"> IAB-DU. Configuration of H/S/NA to </w:t>
      </w:r>
      <w:r w:rsidR="00740AAA" w:rsidRPr="0036208A">
        <w:rPr>
          <w:rFonts w:ascii="Arial" w:hAnsi="Arial" w:cs="Arial"/>
          <w:sz w:val="20"/>
          <w:szCs w:val="20"/>
        </w:rPr>
        <w:t xml:space="preserve">the </w:t>
      </w:r>
      <w:r w:rsidRPr="0036208A">
        <w:rPr>
          <w:rFonts w:ascii="Arial" w:hAnsi="Arial" w:cs="Arial"/>
          <w:sz w:val="20"/>
          <w:szCs w:val="20"/>
        </w:rPr>
        <w:t xml:space="preserve">IAB-DU gives different priorities to </w:t>
      </w:r>
      <w:r w:rsidR="00740AAA" w:rsidRPr="0036208A">
        <w:rPr>
          <w:rFonts w:ascii="Arial" w:hAnsi="Arial" w:cs="Arial"/>
          <w:sz w:val="20"/>
          <w:szCs w:val="20"/>
        </w:rPr>
        <w:t xml:space="preserve">the </w:t>
      </w:r>
      <w:r w:rsidRPr="0036208A">
        <w:rPr>
          <w:rFonts w:ascii="Arial" w:hAnsi="Arial" w:cs="Arial"/>
          <w:sz w:val="20"/>
          <w:szCs w:val="20"/>
        </w:rPr>
        <w:t>IAB-MT and</w:t>
      </w:r>
      <w:r w:rsidR="00740AAA" w:rsidRPr="0036208A">
        <w:rPr>
          <w:rFonts w:ascii="Arial" w:hAnsi="Arial" w:cs="Arial"/>
          <w:sz w:val="20"/>
          <w:szCs w:val="20"/>
        </w:rPr>
        <w:t xml:space="preserve"> </w:t>
      </w:r>
      <w:r w:rsidRPr="0036208A">
        <w:rPr>
          <w:rFonts w:ascii="Arial" w:hAnsi="Arial" w:cs="Arial"/>
          <w:sz w:val="20"/>
          <w:szCs w:val="20"/>
        </w:rPr>
        <w:t>IAB-DU regarding the usage of time-domain resource in question and enables local coordination of time-domain resources between the IAB-node and its parent node</w:t>
      </w:r>
      <w:r w:rsidR="00740AAA" w:rsidRPr="0036208A">
        <w:rPr>
          <w:rFonts w:ascii="Arial" w:hAnsi="Arial" w:cs="Arial"/>
          <w:sz w:val="20"/>
          <w:szCs w:val="20"/>
        </w:rPr>
        <w:t>,</w:t>
      </w:r>
      <w:r w:rsidRPr="0036208A">
        <w:rPr>
          <w:rFonts w:ascii="Arial" w:hAnsi="Arial" w:cs="Arial"/>
          <w:sz w:val="20"/>
          <w:szCs w:val="20"/>
        </w:rPr>
        <w:t xml:space="preserve"> account</w:t>
      </w:r>
      <w:r w:rsidR="00202E48" w:rsidRPr="0036208A">
        <w:rPr>
          <w:rFonts w:ascii="Arial" w:hAnsi="Arial" w:cs="Arial"/>
          <w:sz w:val="20"/>
          <w:szCs w:val="20"/>
        </w:rPr>
        <w:t>ing</w:t>
      </w:r>
      <w:r w:rsidRPr="0036208A">
        <w:rPr>
          <w:rFonts w:ascii="Arial" w:hAnsi="Arial" w:cs="Arial"/>
          <w:sz w:val="20"/>
          <w:szCs w:val="20"/>
        </w:rPr>
        <w:t xml:space="preserve"> for dynamic conditions. </w:t>
      </w:r>
    </w:p>
    <w:p w14:paraId="1A207FDB" w14:textId="1DC0DC2C" w:rsidR="00A36CE0" w:rsidRPr="0036208A" w:rsidRDefault="00A36CE0" w:rsidP="00496476">
      <w:pPr>
        <w:jc w:val="both"/>
      </w:pPr>
      <w:r w:rsidRPr="0036208A">
        <w:rPr>
          <w:rFonts w:ascii="Arial" w:hAnsi="Arial" w:cs="Arial"/>
          <w:sz w:val="20"/>
          <w:szCs w:val="20"/>
        </w:rPr>
        <w:t>In Rel-17, one new feature for a half-duplex IAB-node is simultaneous transmission and</w:t>
      </w:r>
      <w:r w:rsidR="00402BF0" w:rsidRPr="0036208A">
        <w:rPr>
          <w:rFonts w:ascii="Arial" w:hAnsi="Arial" w:cs="Arial"/>
          <w:sz w:val="20"/>
          <w:szCs w:val="20"/>
        </w:rPr>
        <w:t>/or</w:t>
      </w:r>
      <w:r w:rsidRPr="0036208A">
        <w:rPr>
          <w:rFonts w:ascii="Arial" w:hAnsi="Arial" w:cs="Arial"/>
          <w:sz w:val="20"/>
          <w:szCs w:val="20"/>
        </w:rPr>
        <w:t xml:space="preserve"> reception, </w:t>
      </w:r>
      <w:r w:rsidR="00104951" w:rsidRPr="0036208A">
        <w:rPr>
          <w:rFonts w:ascii="Arial" w:hAnsi="Arial" w:cs="Arial"/>
          <w:sz w:val="20"/>
          <w:szCs w:val="20"/>
        </w:rPr>
        <w:t>in</w:t>
      </w:r>
      <w:r w:rsidRPr="0036208A">
        <w:rPr>
          <w:rFonts w:ascii="Arial" w:hAnsi="Arial" w:cs="Arial"/>
          <w:sz w:val="20"/>
          <w:szCs w:val="20"/>
        </w:rPr>
        <w:t xml:space="preserve"> which the IAB-MT and IAB-DU operate in FDM or SDM. </w:t>
      </w:r>
    </w:p>
    <w:p w14:paraId="6BD5C029" w14:textId="77777777" w:rsidR="00A36CE0" w:rsidRPr="0036208A" w:rsidRDefault="00A36CE0" w:rsidP="00496476">
      <w:pPr>
        <w:pStyle w:val="Heading3"/>
        <w:tabs>
          <w:tab w:val="num" w:pos="720"/>
        </w:tabs>
        <w:jc w:val="both"/>
        <w:rPr>
          <w:lang w:val="en-US"/>
        </w:rPr>
      </w:pPr>
      <w:bookmarkStart w:id="2" w:name="_Ref58590315"/>
      <w:r w:rsidRPr="0036208A">
        <w:rPr>
          <w:lang w:val="en-US"/>
        </w:rPr>
        <w:t>Frequency-domain H/S/NA</w:t>
      </w:r>
      <w:bookmarkEnd w:id="2"/>
    </w:p>
    <w:p w14:paraId="0239C94D" w14:textId="665F3158" w:rsidR="00A36CE0" w:rsidRPr="0036208A" w:rsidRDefault="00A36CE0" w:rsidP="00496476">
      <w:pPr>
        <w:jc w:val="both"/>
        <w:rPr>
          <w:rFonts w:ascii="Arial" w:hAnsi="Arial" w:cs="Arial"/>
          <w:sz w:val="20"/>
          <w:szCs w:val="20"/>
          <w:shd w:val="pct15" w:color="auto" w:fill="FFFFFF"/>
        </w:rPr>
      </w:pPr>
      <w:r w:rsidRPr="0036208A">
        <w:rPr>
          <w:rFonts w:ascii="Arial" w:hAnsi="Arial" w:cs="Arial"/>
          <w:sz w:val="20"/>
          <w:szCs w:val="20"/>
        </w:rPr>
        <w:t xml:space="preserve">For an IAB-node capable of FDM, the IAB-MT and IAB-DU can use time-domain resources simultaneously but need coordination on the usage of frequency-domain resources. In this case, a similar structure of configuring frequency-domain resources with H/S/NA attributes would be advantageous. </w:t>
      </w:r>
      <w:r w:rsidR="00750599" w:rsidRPr="0036208A">
        <w:rPr>
          <w:rFonts w:ascii="Arial" w:hAnsi="Arial" w:cs="Arial"/>
          <w:sz w:val="20"/>
          <w:szCs w:val="20"/>
        </w:rPr>
        <w:t>The reason is that it</w:t>
      </w:r>
      <w:r w:rsidRPr="0036208A">
        <w:rPr>
          <w:rFonts w:ascii="Arial" w:hAnsi="Arial" w:cs="Arial"/>
          <w:sz w:val="20"/>
          <w:szCs w:val="20"/>
        </w:rPr>
        <w:t xml:space="preserve"> </w:t>
      </w:r>
      <w:r w:rsidR="00750599" w:rsidRPr="0036208A">
        <w:rPr>
          <w:rFonts w:ascii="Arial" w:hAnsi="Arial" w:cs="Arial"/>
          <w:sz w:val="20"/>
          <w:szCs w:val="20"/>
        </w:rPr>
        <w:t>enables</w:t>
      </w:r>
      <w:r w:rsidRPr="0036208A">
        <w:rPr>
          <w:rFonts w:ascii="Arial" w:hAnsi="Arial" w:cs="Arial"/>
          <w:sz w:val="20"/>
          <w:szCs w:val="20"/>
        </w:rPr>
        <w:t xml:space="preserve"> certain coordination between </w:t>
      </w:r>
      <w:r w:rsidR="00202E48" w:rsidRPr="0036208A">
        <w:rPr>
          <w:rFonts w:ascii="Arial" w:hAnsi="Arial" w:cs="Arial"/>
          <w:sz w:val="20"/>
          <w:szCs w:val="20"/>
        </w:rPr>
        <w:t xml:space="preserve">the </w:t>
      </w:r>
      <w:r w:rsidRPr="0036208A">
        <w:rPr>
          <w:rFonts w:ascii="Arial" w:hAnsi="Arial" w:cs="Arial"/>
          <w:sz w:val="20"/>
          <w:szCs w:val="20"/>
        </w:rPr>
        <w:t>IAB-node and its parent node about the frequency-domain resources, and there</w:t>
      </w:r>
      <w:r w:rsidR="00FF4B15" w:rsidRPr="0036208A">
        <w:rPr>
          <w:rFonts w:ascii="Arial" w:hAnsi="Arial" w:cs="Arial"/>
          <w:sz w:val="20"/>
          <w:szCs w:val="20"/>
        </w:rPr>
        <w:t>by</w:t>
      </w:r>
      <w:r w:rsidRPr="0036208A">
        <w:rPr>
          <w:rFonts w:ascii="Arial" w:hAnsi="Arial" w:cs="Arial"/>
          <w:sz w:val="20"/>
          <w:szCs w:val="20"/>
        </w:rPr>
        <w:t xml:space="preserve"> allows for greater flexibility, reduced CLI and reduced latency.</w:t>
      </w:r>
    </w:p>
    <w:p w14:paraId="7DEC51BB" w14:textId="77777777" w:rsidR="00A36CE0" w:rsidRPr="0036208A" w:rsidRDefault="00A36CE0" w:rsidP="00496476">
      <w:pPr>
        <w:pStyle w:val="Proposal"/>
        <w:spacing w:after="160"/>
        <w:rPr>
          <w:rFonts w:cs="Arial"/>
          <w:sz w:val="20"/>
          <w:szCs w:val="20"/>
        </w:rPr>
      </w:pPr>
      <w:bookmarkStart w:id="3" w:name="_Toc45636689"/>
      <w:bookmarkStart w:id="4" w:name="_Toc45639185"/>
      <w:bookmarkStart w:id="5" w:name="_Toc45639253"/>
      <w:bookmarkStart w:id="6" w:name="_Toc45698721"/>
      <w:bookmarkStart w:id="7" w:name="_Toc45698534"/>
      <w:bookmarkStart w:id="8" w:name="_Toc45698546"/>
      <w:bookmarkStart w:id="9" w:name="_Toc45784689"/>
      <w:bookmarkStart w:id="10" w:name="_Toc45785263"/>
      <w:bookmarkStart w:id="11" w:name="_Toc45786039"/>
      <w:bookmarkStart w:id="12" w:name="_Toc46151867"/>
      <w:bookmarkStart w:id="13" w:name="_Toc46734762"/>
      <w:bookmarkStart w:id="14" w:name="_Toc47527065"/>
      <w:bookmarkStart w:id="15" w:name="_Toc47686295"/>
      <w:bookmarkStart w:id="16" w:name="_Toc47690393"/>
      <w:bookmarkStart w:id="17" w:name="_Toc47691763"/>
      <w:bookmarkStart w:id="18" w:name="_Toc47692225"/>
      <w:bookmarkStart w:id="19" w:name="_Toc47692319"/>
      <w:bookmarkStart w:id="20" w:name="_Toc47693434"/>
      <w:bookmarkStart w:id="21" w:name="_Toc47702397"/>
      <w:bookmarkStart w:id="22" w:name="_Toc47702960"/>
      <w:bookmarkStart w:id="23" w:name="_Toc47708276"/>
      <w:bookmarkStart w:id="24" w:name="_Toc47714244"/>
      <w:bookmarkStart w:id="25" w:name="_Toc47733733"/>
      <w:bookmarkStart w:id="26" w:name="_Toc47734087"/>
      <w:bookmarkStart w:id="27" w:name="_Toc54189374"/>
      <w:bookmarkStart w:id="28" w:name="_Toc54205958"/>
      <w:bookmarkStart w:id="29" w:name="_Toc54382823"/>
      <w:bookmarkStart w:id="30" w:name="_Toc58832839"/>
      <w:bookmarkStart w:id="31" w:name="_Toc61903474"/>
      <w:r w:rsidRPr="0036208A">
        <w:rPr>
          <w:rFonts w:cs="Arial"/>
          <w:sz w:val="20"/>
          <w:szCs w:val="20"/>
        </w:rPr>
        <w:t>Specify H/S/NA attributes for IAB-DU frequency-domain resources.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E086D11" w14:textId="0B86607B" w:rsidR="00A36CE0" w:rsidRPr="0036208A" w:rsidRDefault="00A36CE0" w:rsidP="00496476">
      <w:pPr>
        <w:jc w:val="both"/>
        <w:rPr>
          <w:rFonts w:ascii="Arial" w:hAnsi="Arial" w:cs="Arial"/>
          <w:sz w:val="20"/>
          <w:szCs w:val="20"/>
        </w:rPr>
      </w:pPr>
      <w:r w:rsidRPr="0036208A">
        <w:rPr>
          <w:rFonts w:ascii="Arial" w:hAnsi="Arial" w:cs="Arial"/>
          <w:sz w:val="20"/>
          <w:szCs w:val="20"/>
        </w:rPr>
        <w:t>The frequency-domain resource division to which the H/S/NA resource type is configured should be compatible with resource allocation in frequency-domain for Rel-16 access UEs as in [TS 38.214, 5.1.2.2 for DL and 6.1.2.2 for UL]</w:t>
      </w:r>
      <w:r w:rsidR="00AF4032" w:rsidRPr="0036208A">
        <w:rPr>
          <w:rFonts w:ascii="Arial" w:hAnsi="Arial" w:cs="Arial"/>
          <w:sz w:val="20"/>
          <w:szCs w:val="20"/>
        </w:rPr>
        <w:t>, using resource block groups (RBGs)</w:t>
      </w:r>
      <w:r w:rsidRPr="0036208A">
        <w:rPr>
          <w:rFonts w:ascii="Arial" w:hAnsi="Arial" w:cs="Arial"/>
          <w:sz w:val="20"/>
          <w:szCs w:val="20"/>
        </w:rPr>
        <w:t xml:space="preserve">. </w:t>
      </w:r>
      <w:r w:rsidR="00F14C27" w:rsidRPr="0036208A">
        <w:rPr>
          <w:rFonts w:ascii="Arial" w:hAnsi="Arial" w:cs="Arial"/>
          <w:sz w:val="20"/>
          <w:szCs w:val="20"/>
        </w:rPr>
        <w:t>Accordingly</w:t>
      </w:r>
      <w:r w:rsidRPr="0036208A">
        <w:rPr>
          <w:rFonts w:ascii="Arial" w:hAnsi="Arial" w:cs="Arial"/>
          <w:sz w:val="20"/>
          <w:szCs w:val="20"/>
        </w:rPr>
        <w:t xml:space="preserve">, </w:t>
      </w:r>
      <w:r w:rsidR="00F83F6A" w:rsidRPr="0036208A">
        <w:rPr>
          <w:rFonts w:ascii="Arial" w:hAnsi="Arial" w:cs="Arial"/>
          <w:sz w:val="20"/>
          <w:szCs w:val="20"/>
        </w:rPr>
        <w:t xml:space="preserve">it is advantageous </w:t>
      </w:r>
      <w:r w:rsidR="007E06E6" w:rsidRPr="0036208A">
        <w:rPr>
          <w:rFonts w:ascii="Arial" w:hAnsi="Arial" w:cs="Arial"/>
          <w:sz w:val="20"/>
          <w:szCs w:val="20"/>
        </w:rPr>
        <w:t xml:space="preserve">to </w:t>
      </w:r>
      <w:r w:rsidR="005D4A41" w:rsidRPr="0036208A">
        <w:rPr>
          <w:rFonts w:ascii="Arial" w:hAnsi="Arial" w:cs="Arial"/>
          <w:sz w:val="20"/>
          <w:szCs w:val="20"/>
        </w:rPr>
        <w:t xml:space="preserve">also indicate </w:t>
      </w:r>
      <w:r w:rsidRPr="0036208A">
        <w:rPr>
          <w:rFonts w:ascii="Arial" w:hAnsi="Arial" w:cs="Arial"/>
          <w:sz w:val="20"/>
          <w:szCs w:val="20"/>
        </w:rPr>
        <w:t xml:space="preserve">the frequency-domain H/S/NA per RBG, which bundles multiple consecutive RBs. </w:t>
      </w:r>
      <w:r w:rsidR="00D36BFF" w:rsidRPr="0036208A">
        <w:rPr>
          <w:rFonts w:ascii="Arial" w:hAnsi="Arial" w:cs="Arial"/>
          <w:sz w:val="20"/>
          <w:szCs w:val="20"/>
        </w:rPr>
        <w:t xml:space="preserve">Hereinafter, </w:t>
      </w:r>
      <w:r w:rsidR="009D18DB" w:rsidRPr="0036208A">
        <w:rPr>
          <w:rFonts w:ascii="Arial" w:hAnsi="Arial" w:cs="Arial"/>
          <w:sz w:val="20"/>
          <w:szCs w:val="20"/>
        </w:rPr>
        <w:t xml:space="preserve">an </w:t>
      </w:r>
      <w:r w:rsidR="00527CB7" w:rsidRPr="0036208A">
        <w:rPr>
          <w:rFonts w:ascii="Arial" w:hAnsi="Arial" w:cs="Arial"/>
          <w:sz w:val="20"/>
          <w:szCs w:val="20"/>
        </w:rPr>
        <w:t xml:space="preserve">RBG for </w:t>
      </w:r>
      <w:r w:rsidR="00C4412A" w:rsidRPr="0036208A">
        <w:rPr>
          <w:rFonts w:ascii="Arial" w:hAnsi="Arial" w:cs="Arial"/>
          <w:sz w:val="20"/>
          <w:szCs w:val="20"/>
        </w:rPr>
        <w:t xml:space="preserve">assigning frequency-domain </w:t>
      </w:r>
      <w:r w:rsidR="003951FB" w:rsidRPr="0036208A">
        <w:rPr>
          <w:rFonts w:ascii="Arial" w:hAnsi="Arial" w:cs="Arial"/>
          <w:sz w:val="20"/>
          <w:szCs w:val="20"/>
        </w:rPr>
        <w:t>H/S/NA is</w:t>
      </w:r>
      <w:r w:rsidR="00CF6BAD" w:rsidRPr="0036208A">
        <w:rPr>
          <w:rFonts w:ascii="Arial" w:hAnsi="Arial" w:cs="Arial"/>
          <w:sz w:val="20"/>
          <w:szCs w:val="20"/>
        </w:rPr>
        <w:t xml:space="preserve"> also</w:t>
      </w:r>
      <w:r w:rsidR="003951FB" w:rsidRPr="0036208A">
        <w:rPr>
          <w:rFonts w:ascii="Arial" w:hAnsi="Arial" w:cs="Arial"/>
          <w:sz w:val="20"/>
          <w:szCs w:val="20"/>
        </w:rPr>
        <w:t xml:space="preserve"> referred to as</w:t>
      </w:r>
      <w:r w:rsidR="003E28FC" w:rsidRPr="0036208A">
        <w:rPr>
          <w:rFonts w:ascii="Arial" w:hAnsi="Arial" w:cs="Arial"/>
          <w:sz w:val="20"/>
          <w:szCs w:val="20"/>
        </w:rPr>
        <w:t xml:space="preserve"> an</w:t>
      </w:r>
      <w:r w:rsidR="003951FB" w:rsidRPr="0036208A">
        <w:rPr>
          <w:rFonts w:ascii="Arial" w:hAnsi="Arial" w:cs="Arial"/>
          <w:sz w:val="20"/>
          <w:szCs w:val="20"/>
        </w:rPr>
        <w:t xml:space="preserve"> IAB-RBG to </w:t>
      </w:r>
      <w:r w:rsidR="00AE7503" w:rsidRPr="0036208A">
        <w:rPr>
          <w:rFonts w:ascii="Arial" w:hAnsi="Arial" w:cs="Arial"/>
          <w:sz w:val="20"/>
          <w:szCs w:val="20"/>
        </w:rPr>
        <w:t xml:space="preserve">differentiate </w:t>
      </w:r>
      <w:r w:rsidR="009D18DB" w:rsidRPr="0036208A">
        <w:rPr>
          <w:rFonts w:ascii="Arial" w:hAnsi="Arial" w:cs="Arial"/>
          <w:sz w:val="20"/>
          <w:szCs w:val="20"/>
        </w:rPr>
        <w:t xml:space="preserve">it </w:t>
      </w:r>
      <w:r w:rsidR="00E149B6" w:rsidRPr="0036208A">
        <w:rPr>
          <w:rFonts w:ascii="Arial" w:hAnsi="Arial" w:cs="Arial"/>
          <w:sz w:val="20"/>
          <w:szCs w:val="20"/>
        </w:rPr>
        <w:t xml:space="preserve">from </w:t>
      </w:r>
      <w:r w:rsidR="009D18DB" w:rsidRPr="0036208A">
        <w:rPr>
          <w:rFonts w:ascii="Arial" w:hAnsi="Arial" w:cs="Arial"/>
          <w:sz w:val="20"/>
          <w:szCs w:val="20"/>
        </w:rPr>
        <w:t>an</w:t>
      </w:r>
      <w:r w:rsidR="00E149B6" w:rsidRPr="0036208A">
        <w:rPr>
          <w:rFonts w:ascii="Arial" w:hAnsi="Arial" w:cs="Arial"/>
          <w:sz w:val="20"/>
          <w:szCs w:val="20"/>
        </w:rPr>
        <w:t xml:space="preserve"> </w:t>
      </w:r>
      <w:r w:rsidR="00094B54" w:rsidRPr="0036208A">
        <w:rPr>
          <w:rFonts w:ascii="Arial" w:hAnsi="Arial" w:cs="Arial"/>
          <w:sz w:val="20"/>
          <w:szCs w:val="20"/>
        </w:rPr>
        <w:t>RBG for UE frequency resource allocation.</w:t>
      </w:r>
      <w:r w:rsidR="003951FB" w:rsidRPr="0036208A">
        <w:rPr>
          <w:rFonts w:ascii="Arial" w:hAnsi="Arial" w:cs="Arial"/>
          <w:sz w:val="20"/>
          <w:szCs w:val="20"/>
        </w:rPr>
        <w:t xml:space="preserve"> </w:t>
      </w:r>
      <w:r w:rsidR="003874C4" w:rsidRPr="0036208A">
        <w:rPr>
          <w:rFonts w:ascii="Arial" w:hAnsi="Arial" w:cs="Arial"/>
          <w:sz w:val="20"/>
          <w:szCs w:val="20"/>
        </w:rPr>
        <w:t>Conflict</w:t>
      </w:r>
      <w:r w:rsidR="009D18DB" w:rsidRPr="0036208A">
        <w:rPr>
          <w:rFonts w:ascii="Arial" w:hAnsi="Arial" w:cs="Arial"/>
          <w:sz w:val="20"/>
          <w:szCs w:val="20"/>
        </w:rPr>
        <w:t>s</w:t>
      </w:r>
      <w:r w:rsidR="003874C4" w:rsidRPr="0036208A">
        <w:rPr>
          <w:rFonts w:ascii="Arial" w:hAnsi="Arial" w:cs="Arial"/>
          <w:sz w:val="20"/>
          <w:szCs w:val="20"/>
        </w:rPr>
        <w:t xml:space="preserve"> between the </w:t>
      </w:r>
      <w:r w:rsidR="00183266" w:rsidRPr="0036208A">
        <w:rPr>
          <w:rFonts w:ascii="Arial" w:hAnsi="Arial" w:cs="Arial"/>
          <w:sz w:val="20"/>
          <w:szCs w:val="20"/>
        </w:rPr>
        <w:t xml:space="preserve">frequency-domain H/S/NA </w:t>
      </w:r>
      <w:r w:rsidR="00EC2AAB" w:rsidRPr="0036208A">
        <w:rPr>
          <w:rFonts w:ascii="Arial" w:hAnsi="Arial" w:cs="Arial"/>
          <w:sz w:val="20"/>
          <w:szCs w:val="20"/>
        </w:rPr>
        <w:t xml:space="preserve">configuration and </w:t>
      </w:r>
      <w:r w:rsidR="001E1340" w:rsidRPr="0036208A">
        <w:rPr>
          <w:rFonts w:ascii="Arial" w:hAnsi="Arial" w:cs="Arial"/>
          <w:sz w:val="20"/>
          <w:szCs w:val="20"/>
        </w:rPr>
        <w:t xml:space="preserve">RBG(s) allocated for certain UE should be avoided. </w:t>
      </w:r>
      <w:r w:rsidR="00666F25" w:rsidRPr="0036208A">
        <w:rPr>
          <w:rFonts w:ascii="Arial" w:hAnsi="Arial" w:cs="Arial"/>
          <w:sz w:val="20"/>
          <w:szCs w:val="20"/>
        </w:rPr>
        <w:t xml:space="preserve">One example of such conflict is that </w:t>
      </w:r>
      <w:r w:rsidR="009A73EA" w:rsidRPr="0036208A">
        <w:rPr>
          <w:rFonts w:ascii="Arial" w:hAnsi="Arial" w:cs="Arial"/>
          <w:sz w:val="20"/>
          <w:szCs w:val="20"/>
        </w:rPr>
        <w:t xml:space="preserve">for </w:t>
      </w:r>
      <w:r w:rsidR="00BB0318" w:rsidRPr="0036208A">
        <w:rPr>
          <w:rFonts w:ascii="Arial" w:hAnsi="Arial" w:cs="Arial"/>
          <w:sz w:val="20"/>
          <w:szCs w:val="20"/>
        </w:rPr>
        <w:t>an</w:t>
      </w:r>
      <w:r w:rsidR="009A73EA" w:rsidRPr="0036208A">
        <w:rPr>
          <w:rFonts w:ascii="Arial" w:hAnsi="Arial" w:cs="Arial"/>
          <w:sz w:val="20"/>
          <w:szCs w:val="20"/>
        </w:rPr>
        <w:t xml:space="preserve"> RBG configured to a UE, </w:t>
      </w:r>
      <w:r w:rsidR="00935860" w:rsidRPr="0036208A">
        <w:rPr>
          <w:rFonts w:ascii="Arial" w:hAnsi="Arial" w:cs="Arial"/>
          <w:sz w:val="20"/>
          <w:szCs w:val="20"/>
        </w:rPr>
        <w:t xml:space="preserve">one </w:t>
      </w:r>
      <w:r w:rsidR="00BB0318" w:rsidRPr="0036208A">
        <w:rPr>
          <w:rFonts w:ascii="Arial" w:hAnsi="Arial" w:cs="Arial"/>
          <w:sz w:val="20"/>
          <w:szCs w:val="20"/>
        </w:rPr>
        <w:t xml:space="preserve">part of the RBG </w:t>
      </w:r>
      <w:r w:rsidR="00935860" w:rsidRPr="0036208A">
        <w:rPr>
          <w:rFonts w:ascii="Arial" w:hAnsi="Arial" w:cs="Arial"/>
          <w:sz w:val="20"/>
          <w:szCs w:val="20"/>
        </w:rPr>
        <w:t>may be a</w:t>
      </w:r>
      <w:r w:rsidR="00BB0318" w:rsidRPr="0036208A">
        <w:rPr>
          <w:rFonts w:ascii="Arial" w:hAnsi="Arial" w:cs="Arial"/>
          <w:sz w:val="20"/>
          <w:szCs w:val="20"/>
        </w:rPr>
        <w:t xml:space="preserve"> Hard resource </w:t>
      </w:r>
      <w:r w:rsidR="00935860" w:rsidRPr="0036208A">
        <w:rPr>
          <w:rFonts w:ascii="Arial" w:hAnsi="Arial" w:cs="Arial"/>
          <w:sz w:val="20"/>
          <w:szCs w:val="20"/>
        </w:rPr>
        <w:t>whereas</w:t>
      </w:r>
      <w:r w:rsidR="00BB0318" w:rsidRPr="0036208A">
        <w:rPr>
          <w:rFonts w:ascii="Arial" w:hAnsi="Arial" w:cs="Arial"/>
          <w:sz w:val="20"/>
          <w:szCs w:val="20"/>
        </w:rPr>
        <w:t xml:space="preserve"> </w:t>
      </w:r>
      <w:r w:rsidR="00935860" w:rsidRPr="0036208A">
        <w:rPr>
          <w:rFonts w:ascii="Arial" w:hAnsi="Arial" w:cs="Arial"/>
          <w:sz w:val="20"/>
          <w:szCs w:val="20"/>
        </w:rPr>
        <w:t>an</w:t>
      </w:r>
      <w:r w:rsidR="00BB0318" w:rsidRPr="0036208A">
        <w:rPr>
          <w:rFonts w:ascii="Arial" w:hAnsi="Arial" w:cs="Arial"/>
          <w:sz w:val="20"/>
          <w:szCs w:val="20"/>
        </w:rPr>
        <w:t xml:space="preserve">other part </w:t>
      </w:r>
      <w:r w:rsidR="00935860" w:rsidRPr="0036208A">
        <w:rPr>
          <w:rFonts w:ascii="Arial" w:hAnsi="Arial" w:cs="Arial"/>
          <w:sz w:val="20"/>
          <w:szCs w:val="20"/>
        </w:rPr>
        <w:t>may be</w:t>
      </w:r>
      <w:r w:rsidR="00147538" w:rsidRPr="0036208A">
        <w:rPr>
          <w:rFonts w:ascii="Arial" w:hAnsi="Arial" w:cs="Arial"/>
          <w:sz w:val="20"/>
          <w:szCs w:val="20"/>
        </w:rPr>
        <w:t xml:space="preserve"> a</w:t>
      </w:r>
      <w:r w:rsidR="00BB0318" w:rsidRPr="0036208A">
        <w:rPr>
          <w:rFonts w:ascii="Arial" w:hAnsi="Arial" w:cs="Arial"/>
          <w:sz w:val="20"/>
          <w:szCs w:val="20"/>
        </w:rPr>
        <w:t xml:space="preserve"> NA resource. </w:t>
      </w:r>
      <w:r w:rsidR="009A004C" w:rsidRPr="0036208A">
        <w:rPr>
          <w:rFonts w:ascii="Arial" w:hAnsi="Arial" w:cs="Arial"/>
          <w:sz w:val="20"/>
          <w:szCs w:val="20"/>
        </w:rPr>
        <w:t>With this aspect considered</w:t>
      </w:r>
      <w:r w:rsidRPr="0036208A">
        <w:rPr>
          <w:rFonts w:ascii="Arial" w:hAnsi="Arial" w:cs="Arial"/>
          <w:sz w:val="20"/>
          <w:szCs w:val="20"/>
        </w:rPr>
        <w:t xml:space="preserve">, the size of </w:t>
      </w:r>
      <w:r w:rsidR="004F6D27" w:rsidRPr="0036208A">
        <w:rPr>
          <w:rFonts w:ascii="Arial" w:hAnsi="Arial" w:cs="Arial"/>
          <w:sz w:val="20"/>
          <w:szCs w:val="20"/>
        </w:rPr>
        <w:t>IAB-</w:t>
      </w:r>
      <w:r w:rsidRPr="0036208A">
        <w:rPr>
          <w:rFonts w:ascii="Arial" w:hAnsi="Arial" w:cs="Arial"/>
          <w:sz w:val="20"/>
          <w:szCs w:val="20"/>
        </w:rPr>
        <w:t xml:space="preserve">RBG for configuring H/S/NA </w:t>
      </w:r>
      <w:r w:rsidR="00830C2C" w:rsidRPr="0036208A">
        <w:rPr>
          <w:rFonts w:ascii="Arial" w:hAnsi="Arial" w:cs="Arial"/>
          <w:sz w:val="20"/>
          <w:szCs w:val="20"/>
        </w:rPr>
        <w:t>should contain</w:t>
      </w:r>
      <w:r w:rsidR="009612D2" w:rsidRPr="0036208A">
        <w:rPr>
          <w:rFonts w:ascii="Arial" w:hAnsi="Arial" w:cs="Arial"/>
          <w:sz w:val="20"/>
          <w:szCs w:val="20"/>
        </w:rPr>
        <w:t xml:space="preserve"> integer </w:t>
      </w:r>
      <w:r w:rsidR="00164AA3" w:rsidRPr="0036208A">
        <w:rPr>
          <w:rFonts w:ascii="Arial" w:hAnsi="Arial" w:cs="Arial"/>
          <w:sz w:val="20"/>
          <w:szCs w:val="20"/>
        </w:rPr>
        <w:t>multiple</w:t>
      </w:r>
      <w:r w:rsidR="00935860" w:rsidRPr="0036208A">
        <w:rPr>
          <w:rFonts w:ascii="Arial" w:hAnsi="Arial" w:cs="Arial"/>
          <w:sz w:val="20"/>
          <w:szCs w:val="20"/>
        </w:rPr>
        <w:t>s</w:t>
      </w:r>
      <w:r w:rsidR="009612D2" w:rsidRPr="0036208A">
        <w:rPr>
          <w:rFonts w:ascii="Arial" w:hAnsi="Arial" w:cs="Arial"/>
          <w:sz w:val="20"/>
          <w:szCs w:val="20"/>
        </w:rPr>
        <w:t xml:space="preserve"> of </w:t>
      </w:r>
      <w:r w:rsidR="00935860" w:rsidRPr="0036208A">
        <w:rPr>
          <w:rFonts w:ascii="Arial" w:hAnsi="Arial" w:cs="Arial"/>
          <w:sz w:val="20"/>
          <w:szCs w:val="20"/>
        </w:rPr>
        <w:t>the</w:t>
      </w:r>
      <w:r w:rsidR="009612D2" w:rsidRPr="0036208A">
        <w:rPr>
          <w:rFonts w:ascii="Arial" w:hAnsi="Arial" w:cs="Arial"/>
          <w:sz w:val="20"/>
          <w:szCs w:val="20"/>
        </w:rPr>
        <w:t xml:space="preserve"> </w:t>
      </w:r>
      <w:r w:rsidRPr="0036208A">
        <w:rPr>
          <w:rFonts w:ascii="Arial" w:hAnsi="Arial" w:cs="Arial"/>
          <w:sz w:val="20"/>
          <w:szCs w:val="20"/>
        </w:rPr>
        <w:t>RBG</w:t>
      </w:r>
      <w:r w:rsidR="006B5DC2" w:rsidRPr="0036208A">
        <w:rPr>
          <w:rFonts w:ascii="Arial" w:hAnsi="Arial" w:cs="Arial"/>
          <w:sz w:val="20"/>
          <w:szCs w:val="20"/>
        </w:rPr>
        <w:t xml:space="preserve"> size</w:t>
      </w:r>
      <w:r w:rsidRPr="0036208A">
        <w:rPr>
          <w:rFonts w:ascii="Arial" w:hAnsi="Arial" w:cs="Arial"/>
          <w:sz w:val="20"/>
          <w:szCs w:val="20"/>
        </w:rPr>
        <w:t xml:space="preserve"> for access UE frequency resource allocation.</w:t>
      </w:r>
      <w:r w:rsidR="003D7B85" w:rsidRPr="0036208A">
        <w:rPr>
          <w:rFonts w:ascii="Arial" w:hAnsi="Arial" w:cs="Arial"/>
          <w:sz w:val="20"/>
          <w:szCs w:val="20"/>
        </w:rPr>
        <w:t xml:space="preserve"> For example, </w:t>
      </w:r>
      <w:r w:rsidR="00685C61" w:rsidRPr="0036208A">
        <w:rPr>
          <w:rFonts w:ascii="Arial" w:hAnsi="Arial" w:cs="Arial"/>
          <w:sz w:val="20"/>
          <w:szCs w:val="20"/>
        </w:rPr>
        <w:t xml:space="preserve">the same RBG size as </w:t>
      </w:r>
      <w:r w:rsidR="0086126F" w:rsidRPr="0036208A">
        <w:rPr>
          <w:rFonts w:ascii="Arial" w:hAnsi="Arial" w:cs="Arial"/>
          <w:sz w:val="20"/>
          <w:szCs w:val="20"/>
        </w:rPr>
        <w:t xml:space="preserve">UE frequency resource allocation can be used for frequency-domain </w:t>
      </w:r>
      <w:r w:rsidR="00802146" w:rsidRPr="0036208A">
        <w:rPr>
          <w:rFonts w:ascii="Arial" w:hAnsi="Arial" w:cs="Arial"/>
          <w:sz w:val="20"/>
          <w:szCs w:val="20"/>
        </w:rPr>
        <w:t>H/S/NA configuration.</w:t>
      </w:r>
    </w:p>
    <w:p w14:paraId="544D18F0" w14:textId="59D15D15" w:rsidR="00A36CE0" w:rsidRPr="0036208A" w:rsidRDefault="00A36CE0" w:rsidP="00496476">
      <w:pPr>
        <w:pStyle w:val="Proposal"/>
        <w:spacing w:after="160"/>
        <w:rPr>
          <w:rFonts w:cs="Arial"/>
          <w:sz w:val="20"/>
          <w:szCs w:val="20"/>
        </w:rPr>
      </w:pPr>
      <w:bookmarkStart w:id="32" w:name="_Toc58832840"/>
      <w:bookmarkStart w:id="33" w:name="_Toc61903475"/>
      <w:r w:rsidRPr="0036208A">
        <w:rPr>
          <w:rFonts w:cs="Arial"/>
          <w:sz w:val="20"/>
          <w:szCs w:val="20"/>
        </w:rPr>
        <w:t xml:space="preserve">The frequency-domain H/S/NA is indicated per </w:t>
      </w:r>
      <w:r w:rsidR="00E065CA" w:rsidRPr="0036208A">
        <w:rPr>
          <w:rFonts w:cs="Arial"/>
          <w:sz w:val="20"/>
          <w:szCs w:val="20"/>
        </w:rPr>
        <w:t>IAB-</w:t>
      </w:r>
      <w:r w:rsidRPr="0036208A">
        <w:rPr>
          <w:rFonts w:cs="Arial"/>
          <w:sz w:val="20"/>
          <w:szCs w:val="20"/>
        </w:rPr>
        <w:t xml:space="preserve">RBG, the size of which </w:t>
      </w:r>
      <w:r w:rsidR="00D91200" w:rsidRPr="0036208A">
        <w:rPr>
          <w:rFonts w:cs="Arial"/>
          <w:sz w:val="20"/>
          <w:szCs w:val="20"/>
        </w:rPr>
        <w:t xml:space="preserve">contains integer </w:t>
      </w:r>
      <w:r w:rsidR="00164AA3" w:rsidRPr="0036208A">
        <w:rPr>
          <w:rFonts w:cs="Arial"/>
          <w:sz w:val="20"/>
          <w:szCs w:val="20"/>
        </w:rPr>
        <w:t>multiple</w:t>
      </w:r>
      <w:r w:rsidR="002523B1" w:rsidRPr="0036208A">
        <w:rPr>
          <w:rFonts w:cs="Arial"/>
          <w:sz w:val="20"/>
          <w:szCs w:val="20"/>
        </w:rPr>
        <w:t>s</w:t>
      </w:r>
      <w:r w:rsidR="00D91200" w:rsidRPr="0036208A">
        <w:rPr>
          <w:rFonts w:cs="Arial"/>
          <w:sz w:val="20"/>
          <w:szCs w:val="20"/>
        </w:rPr>
        <w:t xml:space="preserve"> of </w:t>
      </w:r>
      <w:r w:rsidR="002523B1" w:rsidRPr="0036208A">
        <w:rPr>
          <w:rFonts w:cs="Arial"/>
          <w:sz w:val="20"/>
          <w:szCs w:val="20"/>
        </w:rPr>
        <w:t>the</w:t>
      </w:r>
      <w:r w:rsidR="00D91200" w:rsidRPr="0036208A">
        <w:rPr>
          <w:rFonts w:cs="Arial"/>
          <w:sz w:val="20"/>
          <w:szCs w:val="20"/>
        </w:rPr>
        <w:t xml:space="preserve"> </w:t>
      </w:r>
      <w:r w:rsidRPr="0036208A">
        <w:rPr>
          <w:rFonts w:cs="Arial"/>
          <w:sz w:val="20"/>
          <w:szCs w:val="20"/>
        </w:rPr>
        <w:t>RBG size configured for access UE frequency-domain resource allocation.</w:t>
      </w:r>
      <w:bookmarkEnd w:id="32"/>
      <w:bookmarkEnd w:id="33"/>
    </w:p>
    <w:p w14:paraId="2CC2A174" w14:textId="33E19BC4" w:rsidR="00A36CE0" w:rsidRPr="0036208A" w:rsidRDefault="00A36CE0" w:rsidP="00496476">
      <w:pPr>
        <w:tabs>
          <w:tab w:val="left" w:pos="594"/>
        </w:tabs>
        <w:jc w:val="both"/>
        <w:rPr>
          <w:rFonts w:ascii="Arial" w:hAnsi="Arial" w:cs="Arial"/>
          <w:sz w:val="20"/>
          <w:szCs w:val="20"/>
        </w:rPr>
      </w:pPr>
      <w:r w:rsidRPr="0036208A">
        <w:rPr>
          <w:rFonts w:ascii="Arial" w:hAnsi="Arial" w:cs="Arial"/>
          <w:sz w:val="20"/>
          <w:szCs w:val="20"/>
        </w:rPr>
        <w:lastRenderedPageBreak/>
        <w:t>Another differ</w:t>
      </w:r>
      <w:r w:rsidR="002523B1" w:rsidRPr="0036208A">
        <w:rPr>
          <w:rFonts w:ascii="Arial" w:hAnsi="Arial" w:cs="Arial"/>
          <w:sz w:val="20"/>
          <w:szCs w:val="20"/>
        </w:rPr>
        <w:t>ing</w:t>
      </w:r>
      <w:r w:rsidRPr="0036208A">
        <w:rPr>
          <w:rFonts w:ascii="Arial" w:hAnsi="Arial" w:cs="Arial"/>
          <w:sz w:val="20"/>
          <w:szCs w:val="20"/>
        </w:rPr>
        <w:t xml:space="preserve"> aspect between time-domain and frequency-domain resources is the interference between adjacent resources. In the TDM case, if </w:t>
      </w:r>
      <w:r w:rsidR="008676F2" w:rsidRPr="0036208A">
        <w:rPr>
          <w:rFonts w:ascii="Arial" w:hAnsi="Arial" w:cs="Arial"/>
          <w:sz w:val="20"/>
          <w:szCs w:val="20"/>
        </w:rPr>
        <w:t xml:space="preserve">the </w:t>
      </w:r>
      <w:r w:rsidRPr="0036208A">
        <w:rPr>
          <w:rFonts w:ascii="Arial" w:hAnsi="Arial" w:cs="Arial"/>
          <w:sz w:val="20"/>
          <w:szCs w:val="20"/>
        </w:rPr>
        <w:t xml:space="preserve">IAB-DU uses slot 1 and </w:t>
      </w:r>
      <w:r w:rsidR="008676F2" w:rsidRPr="0036208A">
        <w:rPr>
          <w:rFonts w:ascii="Arial" w:hAnsi="Arial" w:cs="Arial"/>
          <w:sz w:val="20"/>
          <w:szCs w:val="20"/>
        </w:rPr>
        <w:t xml:space="preserve">the </w:t>
      </w:r>
      <w:r w:rsidRPr="0036208A">
        <w:rPr>
          <w:rFonts w:ascii="Arial" w:hAnsi="Arial" w:cs="Arial"/>
          <w:sz w:val="20"/>
          <w:szCs w:val="20"/>
        </w:rPr>
        <w:t>IAB-MT uses slot 2, there is no interference between IAB-DU and IAB-MT. But in the FDM case, if IAB-DU uses RBG1 and IAB-MT uses RBG2</w:t>
      </w:r>
      <w:r w:rsidR="001749A5" w:rsidRPr="0036208A">
        <w:rPr>
          <w:rFonts w:ascii="Arial" w:hAnsi="Arial" w:cs="Arial"/>
          <w:sz w:val="20"/>
          <w:szCs w:val="20"/>
        </w:rPr>
        <w:t xml:space="preserve"> where RBG1 and RBG2 are </w:t>
      </w:r>
      <w:r w:rsidR="00DB253F" w:rsidRPr="0036208A">
        <w:rPr>
          <w:rFonts w:ascii="Arial" w:hAnsi="Arial" w:cs="Arial"/>
          <w:sz w:val="20"/>
          <w:szCs w:val="20"/>
        </w:rPr>
        <w:t>contiguous</w:t>
      </w:r>
      <w:r w:rsidRPr="0036208A">
        <w:rPr>
          <w:rFonts w:ascii="Arial" w:hAnsi="Arial" w:cs="Arial"/>
          <w:sz w:val="20"/>
          <w:szCs w:val="20"/>
        </w:rPr>
        <w:t>, there m</w:t>
      </w:r>
      <w:r w:rsidR="00DB253F" w:rsidRPr="0036208A">
        <w:rPr>
          <w:rFonts w:ascii="Arial" w:hAnsi="Arial" w:cs="Arial"/>
          <w:sz w:val="20"/>
          <w:szCs w:val="20"/>
        </w:rPr>
        <w:t>ay</w:t>
      </w:r>
      <w:r w:rsidRPr="0036208A">
        <w:rPr>
          <w:rFonts w:ascii="Arial" w:hAnsi="Arial" w:cs="Arial"/>
          <w:sz w:val="20"/>
          <w:szCs w:val="20"/>
        </w:rPr>
        <w:t xml:space="preserve"> still be interference between IAB-DU and IAB-MT. </w:t>
      </w:r>
      <w:r w:rsidR="00E206F6" w:rsidRPr="0036208A">
        <w:rPr>
          <w:rFonts w:ascii="Arial" w:hAnsi="Arial" w:cs="Arial"/>
          <w:sz w:val="20"/>
          <w:szCs w:val="20"/>
        </w:rPr>
        <w:t xml:space="preserve">This is particularly </w:t>
      </w:r>
      <w:r w:rsidR="0039799F" w:rsidRPr="0036208A">
        <w:rPr>
          <w:rFonts w:ascii="Arial" w:hAnsi="Arial" w:cs="Arial"/>
          <w:sz w:val="20"/>
          <w:szCs w:val="20"/>
        </w:rPr>
        <w:t>relevant</w:t>
      </w:r>
      <w:r w:rsidR="00E206F6" w:rsidRPr="0036208A">
        <w:rPr>
          <w:rFonts w:ascii="Arial" w:hAnsi="Arial" w:cs="Arial"/>
          <w:sz w:val="20"/>
          <w:szCs w:val="20"/>
        </w:rPr>
        <w:t xml:space="preserve"> if the IAB-DU and IAB-MT use separate transceiver chains, including separate FFTs, for which case leakage outside the </w:t>
      </w:r>
      <w:r w:rsidR="0039799F" w:rsidRPr="0036208A">
        <w:rPr>
          <w:rFonts w:ascii="Arial" w:hAnsi="Arial" w:cs="Arial"/>
          <w:sz w:val="20"/>
          <w:szCs w:val="20"/>
        </w:rPr>
        <w:t>IAB-MT or IAB-DU RBGs</w:t>
      </w:r>
      <w:r w:rsidR="00E206F6" w:rsidRPr="0036208A">
        <w:rPr>
          <w:rFonts w:ascii="Arial" w:hAnsi="Arial" w:cs="Arial"/>
          <w:sz w:val="20"/>
          <w:szCs w:val="20"/>
        </w:rPr>
        <w:t xml:space="preserve"> cannot be excluded</w:t>
      </w:r>
      <w:r w:rsidR="0039799F" w:rsidRPr="0036208A">
        <w:rPr>
          <w:rFonts w:ascii="Arial" w:hAnsi="Arial" w:cs="Arial"/>
          <w:sz w:val="20"/>
          <w:szCs w:val="20"/>
        </w:rPr>
        <w:t xml:space="preserve"> </w:t>
      </w:r>
      <w:r w:rsidR="00E206F6" w:rsidRPr="0036208A">
        <w:rPr>
          <w:rFonts w:ascii="Arial" w:hAnsi="Arial" w:cs="Arial"/>
          <w:sz w:val="20"/>
          <w:szCs w:val="20"/>
        </w:rPr>
        <w:t>– contrary to single path IAB nodes</w:t>
      </w:r>
      <w:r w:rsidR="0039799F" w:rsidRPr="0036208A">
        <w:rPr>
          <w:rFonts w:ascii="Arial" w:hAnsi="Arial" w:cs="Arial"/>
          <w:sz w:val="20"/>
          <w:szCs w:val="20"/>
        </w:rPr>
        <w:t xml:space="preserve"> where leakage is instead typically taking place outside the carrier</w:t>
      </w:r>
      <w:r w:rsidR="00E206F6" w:rsidRPr="0036208A">
        <w:rPr>
          <w:rFonts w:ascii="Arial" w:hAnsi="Arial" w:cs="Arial"/>
          <w:sz w:val="20"/>
          <w:szCs w:val="20"/>
        </w:rPr>
        <w:t xml:space="preserve">. </w:t>
      </w:r>
      <w:r w:rsidRPr="0036208A">
        <w:rPr>
          <w:rFonts w:ascii="Arial" w:hAnsi="Arial" w:cs="Arial"/>
          <w:sz w:val="20"/>
          <w:szCs w:val="20"/>
        </w:rPr>
        <w:t>This issue should be considered when defining frequency-domain H/S in terms of the usage of certain resource</w:t>
      </w:r>
      <w:r w:rsidR="00DB253F" w:rsidRPr="0036208A">
        <w:rPr>
          <w:rFonts w:ascii="Arial" w:hAnsi="Arial" w:cs="Arial"/>
          <w:sz w:val="20"/>
          <w:szCs w:val="20"/>
        </w:rPr>
        <w:t>s</w:t>
      </w:r>
      <w:r w:rsidRPr="0036208A">
        <w:rPr>
          <w:rFonts w:ascii="Arial" w:hAnsi="Arial" w:cs="Arial"/>
          <w:sz w:val="20"/>
          <w:szCs w:val="20"/>
        </w:rPr>
        <w:t xml:space="preserve"> at IAB-DU/MT and the impact on IAB-MT/DU.</w:t>
      </w:r>
    </w:p>
    <w:p w14:paraId="41B8B90E" w14:textId="6E412BB4" w:rsidR="00A36CE0" w:rsidRPr="0036208A" w:rsidRDefault="00A36CE0" w:rsidP="00496476">
      <w:pPr>
        <w:tabs>
          <w:tab w:val="left" w:pos="594"/>
        </w:tabs>
        <w:jc w:val="both"/>
        <w:rPr>
          <w:rFonts w:ascii="Arial" w:hAnsi="Arial" w:cs="Arial"/>
          <w:sz w:val="20"/>
          <w:szCs w:val="20"/>
        </w:rPr>
      </w:pPr>
      <w:r w:rsidRPr="0036208A">
        <w:rPr>
          <w:rFonts w:ascii="Arial" w:hAnsi="Arial" w:cs="Arial"/>
          <w:sz w:val="20"/>
          <w:szCs w:val="20"/>
        </w:rPr>
        <w:t xml:space="preserve">To have a common understanding of frequency-domain resources, the frequency-domain resources at the IAB-MT side </w:t>
      </w:r>
      <w:r w:rsidR="005A09F0" w:rsidRPr="0036208A">
        <w:rPr>
          <w:rFonts w:ascii="Arial" w:hAnsi="Arial" w:cs="Arial"/>
          <w:sz w:val="20"/>
          <w:szCs w:val="20"/>
        </w:rPr>
        <w:t>are</w:t>
      </w:r>
      <w:r w:rsidRPr="0036208A">
        <w:rPr>
          <w:rFonts w:ascii="Arial" w:hAnsi="Arial" w:cs="Arial"/>
          <w:sz w:val="20"/>
          <w:szCs w:val="20"/>
        </w:rPr>
        <w:t xml:space="preserve"> also divided into RBGs the same way as IAB-DU.</w:t>
      </w:r>
    </w:p>
    <w:p w14:paraId="66A026B9" w14:textId="441AA014" w:rsidR="00A36CE0" w:rsidRPr="0036208A" w:rsidRDefault="00A36CE0" w:rsidP="00496476">
      <w:pPr>
        <w:pStyle w:val="ListParagraph"/>
        <w:numPr>
          <w:ilvl w:val="0"/>
          <w:numId w:val="35"/>
        </w:numPr>
        <w:tabs>
          <w:tab w:val="left" w:pos="594"/>
        </w:tabs>
        <w:contextualSpacing/>
        <w:jc w:val="both"/>
        <w:rPr>
          <w:rFonts w:ascii="Arial" w:hAnsi="Arial" w:cs="Arial"/>
          <w:sz w:val="20"/>
          <w:szCs w:val="20"/>
          <w:lang w:val="en-US"/>
        </w:rPr>
      </w:pPr>
      <w:r w:rsidRPr="0036208A">
        <w:rPr>
          <w:rFonts w:ascii="Arial" w:hAnsi="Arial" w:cs="Arial"/>
          <w:sz w:val="20"/>
          <w:szCs w:val="20"/>
          <w:lang w:val="en-US"/>
        </w:rPr>
        <w:t>For frequency-domain Hard resource: the DU can use the resource irrespective of the impact on the MT’s ability to transmit or receive in the corresponding resource (i.e., the same RBG)</w:t>
      </w:r>
      <w:r w:rsidR="00AC12DF" w:rsidRPr="0036208A">
        <w:rPr>
          <w:rFonts w:ascii="Arial" w:hAnsi="Arial" w:cs="Arial"/>
          <w:sz w:val="20"/>
          <w:szCs w:val="20"/>
          <w:lang w:val="en-US"/>
        </w:rPr>
        <w:t>, provided</w:t>
      </w:r>
      <w:r w:rsidRPr="0036208A">
        <w:rPr>
          <w:rFonts w:ascii="Arial" w:hAnsi="Arial" w:cs="Arial"/>
          <w:sz w:val="20"/>
          <w:szCs w:val="20"/>
          <w:lang w:val="en-US"/>
        </w:rPr>
        <w:t xml:space="preserve"> it does not impact the MT’s ability to transmit and receive in any other resource (i.e., other RBGs).</w:t>
      </w:r>
    </w:p>
    <w:p w14:paraId="28FA82D7" w14:textId="77777777" w:rsidR="00A36CE0" w:rsidRPr="0036208A" w:rsidRDefault="00A36CE0" w:rsidP="00496476">
      <w:pPr>
        <w:pStyle w:val="ListParagraph"/>
        <w:numPr>
          <w:ilvl w:val="0"/>
          <w:numId w:val="35"/>
        </w:numPr>
        <w:tabs>
          <w:tab w:val="left" w:pos="594"/>
        </w:tabs>
        <w:contextualSpacing/>
        <w:jc w:val="both"/>
        <w:rPr>
          <w:rFonts w:ascii="Arial" w:hAnsi="Arial" w:cs="Arial"/>
          <w:sz w:val="20"/>
          <w:szCs w:val="20"/>
          <w:lang w:val="en-US"/>
        </w:rPr>
      </w:pPr>
      <w:r w:rsidRPr="0036208A">
        <w:rPr>
          <w:rFonts w:ascii="Arial" w:hAnsi="Arial" w:cs="Arial"/>
          <w:sz w:val="20"/>
          <w:szCs w:val="20"/>
          <w:lang w:val="en-US"/>
        </w:rPr>
        <w:t>For frequency-domain Soft resource: the DU can use the resource only if it does not impact the MT’s ability to transmit and receive in any resource (i.e., both the same RBG and other RBGs).</w:t>
      </w:r>
    </w:p>
    <w:p w14:paraId="2D7A40B5" w14:textId="736D8A4F" w:rsidR="00A36CE0" w:rsidRPr="0036208A" w:rsidRDefault="00A36CE0" w:rsidP="00496476">
      <w:pPr>
        <w:pStyle w:val="ListParagraph"/>
        <w:numPr>
          <w:ilvl w:val="0"/>
          <w:numId w:val="35"/>
        </w:numPr>
        <w:tabs>
          <w:tab w:val="left" w:pos="594"/>
        </w:tabs>
        <w:contextualSpacing/>
        <w:jc w:val="both"/>
        <w:rPr>
          <w:rFonts w:ascii="Arial" w:hAnsi="Arial" w:cs="Arial"/>
          <w:sz w:val="20"/>
          <w:szCs w:val="20"/>
          <w:lang w:val="en-US"/>
        </w:rPr>
      </w:pPr>
      <w:r w:rsidRPr="0036208A">
        <w:rPr>
          <w:rFonts w:ascii="Arial" w:hAnsi="Arial" w:cs="Arial"/>
          <w:sz w:val="20"/>
          <w:szCs w:val="20"/>
          <w:lang w:val="en-US"/>
        </w:rPr>
        <w:t xml:space="preserve">For frequency-domain NA resource: the DU cannot use the resource. </w:t>
      </w:r>
    </w:p>
    <w:p w14:paraId="461127FC" w14:textId="4B888836" w:rsidR="00A36CE0" w:rsidRPr="0036208A" w:rsidRDefault="00A36CE0" w:rsidP="00496476">
      <w:pPr>
        <w:tabs>
          <w:tab w:val="left" w:pos="594"/>
        </w:tabs>
        <w:jc w:val="both"/>
        <w:rPr>
          <w:rFonts w:ascii="Arial" w:hAnsi="Arial" w:cs="Arial"/>
          <w:sz w:val="20"/>
          <w:szCs w:val="20"/>
        </w:rPr>
      </w:pPr>
      <w:r w:rsidRPr="0036208A">
        <w:rPr>
          <w:rFonts w:ascii="Arial" w:hAnsi="Arial" w:cs="Arial"/>
          <w:sz w:val="20"/>
          <w:szCs w:val="20"/>
        </w:rPr>
        <w:t xml:space="preserve">Basically, the </w:t>
      </w:r>
      <w:r w:rsidR="00162E5C" w:rsidRPr="0036208A">
        <w:rPr>
          <w:rFonts w:ascii="Arial" w:hAnsi="Arial" w:cs="Arial"/>
          <w:sz w:val="20"/>
          <w:szCs w:val="20"/>
        </w:rPr>
        <w:t>definition of</w:t>
      </w:r>
      <w:r w:rsidRPr="0036208A">
        <w:rPr>
          <w:rFonts w:ascii="Arial" w:hAnsi="Arial" w:cs="Arial"/>
          <w:sz w:val="20"/>
          <w:szCs w:val="20"/>
        </w:rPr>
        <w:t xml:space="preserve"> Soft and NA resource</w:t>
      </w:r>
      <w:r w:rsidR="00162E5C" w:rsidRPr="0036208A">
        <w:rPr>
          <w:rFonts w:ascii="Arial" w:hAnsi="Arial" w:cs="Arial"/>
          <w:sz w:val="20"/>
          <w:szCs w:val="20"/>
        </w:rPr>
        <w:t>s</w:t>
      </w:r>
      <w:r w:rsidRPr="0036208A">
        <w:rPr>
          <w:rFonts w:ascii="Arial" w:hAnsi="Arial" w:cs="Arial"/>
          <w:sz w:val="20"/>
          <w:szCs w:val="20"/>
        </w:rPr>
        <w:t xml:space="preserve"> as in TS 38.213 are still eligible for frequency-domain Soft and NA</w:t>
      </w:r>
      <w:r w:rsidR="002606AB" w:rsidRPr="0036208A">
        <w:rPr>
          <w:rFonts w:ascii="Arial" w:hAnsi="Arial" w:cs="Arial"/>
          <w:sz w:val="20"/>
          <w:szCs w:val="20"/>
        </w:rPr>
        <w:t xml:space="preserve"> resources</w:t>
      </w:r>
      <w:r w:rsidRPr="0036208A">
        <w:rPr>
          <w:rFonts w:ascii="Arial" w:hAnsi="Arial" w:cs="Arial"/>
          <w:sz w:val="20"/>
          <w:szCs w:val="20"/>
        </w:rPr>
        <w:t>. But further clarification on Hard resource type is needed to also include the frequency-domain Hard</w:t>
      </w:r>
      <w:r w:rsidR="001D35F8" w:rsidRPr="0036208A">
        <w:rPr>
          <w:rFonts w:ascii="Arial" w:hAnsi="Arial" w:cs="Arial"/>
          <w:sz w:val="20"/>
          <w:szCs w:val="20"/>
        </w:rPr>
        <w:t xml:space="preserve"> resource</w:t>
      </w:r>
      <w:r w:rsidRPr="0036208A">
        <w:rPr>
          <w:rFonts w:ascii="Arial" w:hAnsi="Arial" w:cs="Arial"/>
          <w:sz w:val="20"/>
          <w:szCs w:val="20"/>
        </w:rPr>
        <w:t xml:space="preserve">. </w:t>
      </w:r>
    </w:p>
    <w:p w14:paraId="1B37CC49" w14:textId="3CBE0F1B" w:rsidR="00A36CE0" w:rsidRPr="007A56E0" w:rsidRDefault="00A36CE0" w:rsidP="00496476">
      <w:pPr>
        <w:tabs>
          <w:tab w:val="left" w:pos="594"/>
        </w:tabs>
        <w:jc w:val="both"/>
        <w:rPr>
          <w:rFonts w:ascii="Arial" w:hAnsi="Arial" w:cs="Arial"/>
          <w:sz w:val="20"/>
          <w:szCs w:val="20"/>
          <w:lang w:val="en-GB"/>
        </w:rPr>
      </w:pPr>
      <w:r w:rsidRPr="0036208A">
        <w:rPr>
          <w:rFonts w:ascii="Arial" w:hAnsi="Arial" w:cs="Arial"/>
          <w:sz w:val="20"/>
          <w:szCs w:val="20"/>
        </w:rPr>
        <w:t xml:space="preserve">An example of how </w:t>
      </w:r>
      <w:r w:rsidR="00EA19E7" w:rsidRPr="0036208A">
        <w:rPr>
          <w:rFonts w:ascii="Arial" w:hAnsi="Arial" w:cs="Arial"/>
          <w:sz w:val="20"/>
          <w:szCs w:val="20"/>
        </w:rPr>
        <w:t xml:space="preserve">above </w:t>
      </w:r>
      <w:r w:rsidR="00E938B9" w:rsidRPr="0036208A">
        <w:rPr>
          <w:rFonts w:ascii="Arial" w:hAnsi="Arial" w:cs="Arial"/>
          <w:sz w:val="20"/>
          <w:szCs w:val="20"/>
        </w:rPr>
        <w:t xml:space="preserve">description of </w:t>
      </w:r>
      <w:r w:rsidR="00EA19E7" w:rsidRPr="0036208A">
        <w:rPr>
          <w:rFonts w:ascii="Arial" w:hAnsi="Arial" w:cs="Arial"/>
          <w:sz w:val="20"/>
          <w:szCs w:val="20"/>
        </w:rPr>
        <w:t>H/S/NA</w:t>
      </w:r>
      <w:r w:rsidRPr="0036208A">
        <w:rPr>
          <w:rFonts w:ascii="Arial" w:hAnsi="Arial" w:cs="Arial"/>
          <w:sz w:val="20"/>
          <w:szCs w:val="20"/>
        </w:rPr>
        <w:t xml:space="preserve"> means to the frequency-domain usage is illustrated in </w:t>
      </w:r>
      <w:r w:rsidRPr="0036208A">
        <w:rPr>
          <w:rFonts w:ascii="Arial" w:hAnsi="Arial" w:cs="Arial"/>
          <w:sz w:val="20"/>
          <w:szCs w:val="20"/>
        </w:rPr>
        <w:fldChar w:fldCharType="begin"/>
      </w:r>
      <w:r w:rsidRPr="0036208A">
        <w:rPr>
          <w:rFonts w:ascii="Arial" w:hAnsi="Arial" w:cs="Arial"/>
          <w:sz w:val="20"/>
          <w:szCs w:val="20"/>
        </w:rPr>
        <w:instrText xml:space="preserve"> REF _Ref58511350 \h </w:instrText>
      </w:r>
      <w:r w:rsidR="00011631" w:rsidRPr="0036208A">
        <w:rPr>
          <w:rFonts w:ascii="Arial" w:hAnsi="Arial" w:cs="Arial"/>
          <w:sz w:val="20"/>
          <w:szCs w:val="20"/>
        </w:rPr>
        <w:instrText xml:space="preserve"> \* MERGEFORMAT </w:instrText>
      </w:r>
      <w:r w:rsidRPr="0036208A">
        <w:rPr>
          <w:rFonts w:ascii="Arial" w:hAnsi="Arial" w:cs="Arial"/>
          <w:sz w:val="20"/>
          <w:szCs w:val="20"/>
        </w:rPr>
      </w:r>
      <w:r w:rsidRPr="0036208A">
        <w:rPr>
          <w:rFonts w:ascii="Arial" w:hAnsi="Arial" w:cs="Arial"/>
          <w:sz w:val="20"/>
          <w:szCs w:val="20"/>
        </w:rPr>
        <w:fldChar w:fldCharType="separate"/>
      </w:r>
      <w:r w:rsidR="009C0672" w:rsidRPr="009C0672">
        <w:rPr>
          <w:rFonts w:ascii="Arial" w:hAnsi="Arial" w:cs="Arial"/>
          <w:sz w:val="20"/>
          <w:szCs w:val="20"/>
        </w:rPr>
        <w:t xml:space="preserve">Figure </w:t>
      </w:r>
      <w:r w:rsidR="009C0672" w:rsidRPr="009C0672">
        <w:rPr>
          <w:rFonts w:ascii="Arial" w:hAnsi="Arial" w:cs="Arial"/>
          <w:noProof/>
          <w:sz w:val="20"/>
          <w:szCs w:val="20"/>
        </w:rPr>
        <w:t>1</w:t>
      </w:r>
      <w:r w:rsidRPr="0036208A">
        <w:rPr>
          <w:rFonts w:ascii="Arial" w:hAnsi="Arial" w:cs="Arial"/>
          <w:sz w:val="20"/>
          <w:szCs w:val="20"/>
        </w:rPr>
        <w:fldChar w:fldCharType="end"/>
      </w:r>
      <w:r w:rsidRPr="0036208A">
        <w:rPr>
          <w:rFonts w:ascii="Arial" w:hAnsi="Arial" w:cs="Arial"/>
          <w:sz w:val="20"/>
          <w:szCs w:val="20"/>
        </w:rPr>
        <w:t xml:space="preserve">. The blue shaded RBGs are the ones configured to be used either by IAB-MT or IAB-DU. </w:t>
      </w:r>
      <w:r w:rsidR="009733F5" w:rsidRPr="0036208A">
        <w:rPr>
          <w:rFonts w:ascii="Arial" w:hAnsi="Arial" w:cs="Arial"/>
          <w:sz w:val="20"/>
          <w:szCs w:val="20"/>
        </w:rPr>
        <w:t>I</w:t>
      </w:r>
      <w:r w:rsidRPr="0036208A">
        <w:rPr>
          <w:rFonts w:ascii="Arial" w:hAnsi="Arial" w:cs="Arial"/>
          <w:sz w:val="20"/>
          <w:szCs w:val="20"/>
        </w:rPr>
        <w:t xml:space="preserve">f IAB-DU uses RBG2 and IAB-MT uses </w:t>
      </w:r>
      <w:r w:rsidR="00164654" w:rsidRPr="0036208A">
        <w:rPr>
          <w:rFonts w:ascii="Arial" w:hAnsi="Arial" w:cs="Arial"/>
          <w:sz w:val="20"/>
          <w:szCs w:val="20"/>
        </w:rPr>
        <w:t>RBG3</w:t>
      </w:r>
      <w:r w:rsidRPr="0036208A">
        <w:rPr>
          <w:rFonts w:ascii="Arial" w:hAnsi="Arial" w:cs="Arial"/>
          <w:sz w:val="20"/>
          <w:szCs w:val="20"/>
        </w:rPr>
        <w:t xml:space="preserve"> simultaneously, they </w:t>
      </w:r>
      <w:r w:rsidR="000D28C5">
        <w:rPr>
          <w:rFonts w:ascii="Arial" w:hAnsi="Arial" w:cs="Arial"/>
          <w:sz w:val="20"/>
          <w:szCs w:val="20"/>
        </w:rPr>
        <w:t>may</w:t>
      </w:r>
      <w:r w:rsidRPr="0036208A">
        <w:rPr>
          <w:rFonts w:ascii="Arial" w:hAnsi="Arial" w:cs="Arial"/>
          <w:sz w:val="20"/>
          <w:szCs w:val="20"/>
        </w:rPr>
        <w:t xml:space="preserve"> interfere </w:t>
      </w:r>
      <w:r w:rsidR="00013F46" w:rsidRPr="0036208A">
        <w:rPr>
          <w:rFonts w:ascii="Arial" w:hAnsi="Arial" w:cs="Arial"/>
          <w:sz w:val="20"/>
          <w:szCs w:val="20"/>
        </w:rPr>
        <w:t>wi</w:t>
      </w:r>
      <w:r w:rsidR="002B7D7E" w:rsidRPr="0036208A">
        <w:rPr>
          <w:rFonts w:ascii="Arial" w:hAnsi="Arial" w:cs="Arial"/>
          <w:sz w:val="20"/>
          <w:szCs w:val="20"/>
        </w:rPr>
        <w:t>th</w:t>
      </w:r>
      <w:r w:rsidR="00013F46" w:rsidRPr="0036208A">
        <w:rPr>
          <w:rFonts w:ascii="Arial" w:hAnsi="Arial" w:cs="Arial"/>
          <w:sz w:val="20"/>
          <w:szCs w:val="20"/>
        </w:rPr>
        <w:t xml:space="preserve"> </w:t>
      </w:r>
      <w:r w:rsidRPr="0036208A">
        <w:rPr>
          <w:rFonts w:ascii="Arial" w:hAnsi="Arial" w:cs="Arial"/>
          <w:sz w:val="20"/>
          <w:szCs w:val="20"/>
        </w:rPr>
        <w:t xml:space="preserve">each other. </w:t>
      </w:r>
      <w:r w:rsidR="00604876" w:rsidRPr="0036208A">
        <w:rPr>
          <w:rFonts w:ascii="Arial" w:hAnsi="Arial" w:cs="Arial"/>
          <w:sz w:val="20"/>
          <w:szCs w:val="20"/>
        </w:rPr>
        <w:t>Hence</w:t>
      </w:r>
      <w:r w:rsidRPr="0036208A">
        <w:rPr>
          <w:rFonts w:ascii="Arial" w:hAnsi="Arial" w:cs="Arial"/>
          <w:sz w:val="20"/>
          <w:szCs w:val="20"/>
        </w:rPr>
        <w:t xml:space="preserve">, </w:t>
      </w:r>
      <w:r w:rsidR="00604876" w:rsidRPr="0036208A">
        <w:rPr>
          <w:rFonts w:ascii="Arial" w:hAnsi="Arial" w:cs="Arial"/>
          <w:sz w:val="20"/>
          <w:szCs w:val="20"/>
        </w:rPr>
        <w:t>the</w:t>
      </w:r>
      <w:r w:rsidRPr="0036208A">
        <w:rPr>
          <w:rFonts w:ascii="Arial" w:hAnsi="Arial" w:cs="Arial"/>
          <w:sz w:val="20"/>
          <w:szCs w:val="20"/>
        </w:rPr>
        <w:t xml:space="preserve"> IAB-DU reserves multiple subcarriers at the upper edge of RBG2 to avoid such interference. </w:t>
      </w:r>
      <w:r w:rsidRPr="007A56E0">
        <w:rPr>
          <w:rFonts w:ascii="Arial" w:hAnsi="Arial" w:cs="Arial"/>
          <w:sz w:val="20"/>
          <w:szCs w:val="20"/>
          <w:lang w:val="en-GB"/>
        </w:rPr>
        <w:t xml:space="preserve">Similarly, guard subcarriers </w:t>
      </w:r>
      <w:r w:rsidR="003B7148" w:rsidRPr="007A56E0">
        <w:rPr>
          <w:rFonts w:ascii="Arial" w:hAnsi="Arial" w:cs="Arial"/>
          <w:sz w:val="20"/>
          <w:szCs w:val="20"/>
          <w:lang w:val="en-GB"/>
        </w:rPr>
        <w:t>are</w:t>
      </w:r>
      <w:r w:rsidRPr="007A56E0">
        <w:rPr>
          <w:rFonts w:ascii="Arial" w:hAnsi="Arial" w:cs="Arial"/>
          <w:sz w:val="20"/>
          <w:szCs w:val="20"/>
          <w:lang w:val="en-GB"/>
        </w:rPr>
        <w:t xml:space="preserve"> reserved at both upper and lower edges when </w:t>
      </w:r>
      <w:r w:rsidR="00013F46" w:rsidRPr="007A56E0">
        <w:rPr>
          <w:rFonts w:ascii="Arial" w:hAnsi="Arial" w:cs="Arial"/>
          <w:sz w:val="20"/>
          <w:szCs w:val="20"/>
          <w:lang w:val="en-GB"/>
        </w:rPr>
        <w:t xml:space="preserve">the </w:t>
      </w:r>
      <w:r w:rsidRPr="007A56E0">
        <w:rPr>
          <w:rFonts w:ascii="Arial" w:hAnsi="Arial" w:cs="Arial"/>
          <w:sz w:val="20"/>
          <w:szCs w:val="20"/>
          <w:lang w:val="en-GB"/>
        </w:rPr>
        <w:t xml:space="preserve">IAB-DU uses RBG4, which has impact on </w:t>
      </w:r>
      <w:r w:rsidR="00013F46" w:rsidRPr="007A56E0">
        <w:rPr>
          <w:rFonts w:ascii="Arial" w:hAnsi="Arial" w:cs="Arial"/>
          <w:sz w:val="20"/>
          <w:szCs w:val="20"/>
          <w:lang w:val="en-GB"/>
        </w:rPr>
        <w:t xml:space="preserve">the </w:t>
      </w:r>
      <w:r w:rsidRPr="007A56E0">
        <w:rPr>
          <w:rFonts w:ascii="Arial" w:hAnsi="Arial" w:cs="Arial"/>
          <w:sz w:val="20"/>
          <w:szCs w:val="20"/>
          <w:lang w:val="en-GB"/>
        </w:rPr>
        <w:t>IAB-MT’s usage of RBG3 and RBG5.</w:t>
      </w:r>
    </w:p>
    <w:p w14:paraId="6E6FEAE0" w14:textId="39BDEFAA" w:rsidR="00A36CE0" w:rsidRPr="0036208A" w:rsidRDefault="00A36CE0" w:rsidP="00574390">
      <w:pPr>
        <w:tabs>
          <w:tab w:val="left" w:pos="594"/>
        </w:tabs>
        <w:jc w:val="center"/>
      </w:pPr>
      <w:r w:rsidRPr="0036208A">
        <w:rPr>
          <w:noProof/>
        </w:rPr>
        <w:drawing>
          <wp:inline distT="0" distB="0" distL="0" distR="0" wp14:anchorId="0326ADB9" wp14:editId="7DE353EA">
            <wp:extent cx="4327200" cy="21486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7200" cy="2148602"/>
                    </a:xfrm>
                    <a:prstGeom prst="rect">
                      <a:avLst/>
                    </a:prstGeom>
                    <a:noFill/>
                  </pic:spPr>
                </pic:pic>
              </a:graphicData>
            </a:graphic>
          </wp:inline>
        </w:drawing>
      </w:r>
    </w:p>
    <w:p w14:paraId="3ABC7BEB" w14:textId="40C55DF3" w:rsidR="00A36CE0" w:rsidRPr="0036208A" w:rsidRDefault="00A36CE0" w:rsidP="00574390">
      <w:pPr>
        <w:pStyle w:val="Caption"/>
        <w:jc w:val="center"/>
      </w:pPr>
      <w:bookmarkStart w:id="34" w:name="_Ref58511350"/>
      <w:r w:rsidRPr="0036208A">
        <w:t xml:space="preserve">Figure </w:t>
      </w:r>
      <w:r w:rsidR="00390C5C" w:rsidRPr="0036208A">
        <w:fldChar w:fldCharType="begin"/>
      </w:r>
      <w:r w:rsidR="00390C5C" w:rsidRPr="0036208A">
        <w:instrText xml:space="preserve"> SEQ Figure \* ARABIC </w:instrText>
      </w:r>
      <w:r w:rsidR="00390C5C" w:rsidRPr="0036208A">
        <w:fldChar w:fldCharType="separate"/>
      </w:r>
      <w:r w:rsidR="009C0672">
        <w:rPr>
          <w:noProof/>
        </w:rPr>
        <w:t>1</w:t>
      </w:r>
      <w:r w:rsidR="00390C5C" w:rsidRPr="0036208A">
        <w:rPr>
          <w:noProof/>
        </w:rPr>
        <w:fldChar w:fldCharType="end"/>
      </w:r>
      <w:bookmarkEnd w:id="34"/>
      <w:r w:rsidRPr="0036208A">
        <w:t xml:space="preserve">: Illustration of </w:t>
      </w:r>
      <w:r w:rsidR="00983DAF" w:rsidRPr="0036208A">
        <w:t>resource</w:t>
      </w:r>
      <w:r w:rsidRPr="0036208A">
        <w:t xml:space="preserve"> usage of frequency-domain H/S/NA.</w:t>
      </w:r>
      <w:r w:rsidR="000237D5" w:rsidRPr="0036208A">
        <w:t xml:space="preserve"> The RBGs are IAB-RBGs.</w:t>
      </w:r>
    </w:p>
    <w:p w14:paraId="6BEAC813" w14:textId="68581077" w:rsidR="00A36CE0" w:rsidRPr="0036208A" w:rsidRDefault="00A36CE0" w:rsidP="00496476">
      <w:pPr>
        <w:pStyle w:val="Proposal"/>
        <w:spacing w:after="160"/>
        <w:rPr>
          <w:rFonts w:cs="Arial"/>
          <w:sz w:val="20"/>
          <w:szCs w:val="20"/>
        </w:rPr>
      </w:pPr>
      <w:bookmarkStart w:id="35" w:name="_Toc58832841"/>
      <w:bookmarkStart w:id="36" w:name="_Toc61903476"/>
      <w:r w:rsidRPr="0036208A">
        <w:rPr>
          <w:rFonts w:cs="Arial"/>
          <w:sz w:val="20"/>
          <w:szCs w:val="20"/>
        </w:rPr>
        <w:t xml:space="preserve">If a resource is configured as </w:t>
      </w:r>
      <w:r w:rsidR="00604876" w:rsidRPr="0036208A">
        <w:rPr>
          <w:rFonts w:cs="Arial"/>
          <w:sz w:val="20"/>
          <w:szCs w:val="20"/>
        </w:rPr>
        <w:t>H</w:t>
      </w:r>
      <w:r w:rsidRPr="0036208A">
        <w:rPr>
          <w:rFonts w:cs="Arial"/>
          <w:sz w:val="20"/>
          <w:szCs w:val="20"/>
        </w:rPr>
        <w:t xml:space="preserve">ard, the IAB-DU can transmit, receive, or either transmit or receive according to its configuration only if it does not impact the IAB-MT’s ability to operate </w:t>
      </w:r>
      <w:r w:rsidRPr="0036208A">
        <w:rPr>
          <w:rFonts w:cs="Arial"/>
          <w:sz w:val="20"/>
          <w:szCs w:val="20"/>
          <w:u w:val="single"/>
        </w:rPr>
        <w:t>in any other</w:t>
      </w:r>
      <w:r w:rsidRPr="0036208A">
        <w:rPr>
          <w:rFonts w:cs="Arial"/>
          <w:sz w:val="20"/>
          <w:szCs w:val="20"/>
        </w:rPr>
        <w:t xml:space="preserve"> resource according to the configuration of that resource.</w:t>
      </w:r>
      <w:bookmarkEnd w:id="35"/>
      <w:bookmarkEnd w:id="36"/>
    </w:p>
    <w:p w14:paraId="290A7BB6" w14:textId="6E2DE82E" w:rsidR="00A36CE0" w:rsidRPr="0036208A" w:rsidRDefault="008E339C" w:rsidP="00496476">
      <w:pPr>
        <w:pStyle w:val="Heading3"/>
        <w:tabs>
          <w:tab w:val="num" w:pos="720"/>
        </w:tabs>
        <w:jc w:val="both"/>
        <w:rPr>
          <w:lang w:val="en-US"/>
        </w:rPr>
      </w:pPr>
      <w:r w:rsidRPr="0036208A">
        <w:rPr>
          <w:lang w:val="en-US"/>
        </w:rPr>
        <w:t>Space-domain H/S/NA</w:t>
      </w:r>
    </w:p>
    <w:p w14:paraId="1238C3DF" w14:textId="191B03DB"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For transmission/reception directions (i.e. beams) where the IAB-MT and IAB-DU can use the same time- and frequency-domain resources simultaneously (i.e., capable of SDM), the Rel-16 H/S mechanism is not needed due to the space-domain orthogonality. For IAB-DU transmission directions that will cause unacceptable performance degradation of the backhaul link to the parent IAB-DU, time- or frequency-domain H/S/NA </w:t>
      </w:r>
      <w:r w:rsidRPr="0036208A">
        <w:rPr>
          <w:rFonts w:ascii="Arial" w:hAnsi="Arial" w:cs="Arial"/>
          <w:sz w:val="20"/>
          <w:szCs w:val="20"/>
        </w:rPr>
        <w:lastRenderedPageBreak/>
        <w:t xml:space="preserve">configurations should be resorted to. </w:t>
      </w:r>
      <w:r w:rsidR="009131C1" w:rsidRPr="0036208A">
        <w:rPr>
          <w:rFonts w:ascii="Arial" w:hAnsi="Arial" w:cs="Arial"/>
          <w:sz w:val="20"/>
          <w:szCs w:val="20"/>
        </w:rPr>
        <w:t xml:space="preserve">For a planned network where backhaul traffic is separated from access traffic, this will not be a problem. </w:t>
      </w:r>
      <w:r w:rsidR="00F25871">
        <w:rPr>
          <w:rFonts w:ascii="Arial" w:hAnsi="Arial" w:cs="Arial"/>
          <w:sz w:val="20"/>
          <w:szCs w:val="20"/>
        </w:rPr>
        <w:t>Without such a separation,</w:t>
      </w:r>
      <w:r w:rsidR="00832D81" w:rsidRPr="0036208A">
        <w:rPr>
          <w:rFonts w:ascii="Arial" w:hAnsi="Arial" w:cs="Arial"/>
          <w:sz w:val="20"/>
          <w:szCs w:val="20"/>
        </w:rPr>
        <w:t xml:space="preserve"> c</w:t>
      </w:r>
      <w:r w:rsidRPr="0036208A">
        <w:rPr>
          <w:rFonts w:ascii="Arial" w:hAnsi="Arial" w:cs="Arial"/>
          <w:sz w:val="20"/>
          <w:szCs w:val="20"/>
        </w:rPr>
        <w:t>onfiguring NA on link-basis at the IAB-DU can be useful to semi-statically disable certain child links and/or access links of the IAB-DU. One application is to disable a child/access link that causes substantial interference to another backhaul link. With these aspects considered, it is FFS whether and how to restrict IAB-DU’s usage of space-domain resources so that the IAB-DU can adapt its behavior to suit different conditions. A related matter is then how such restrictions should be defined; in terms of links, beams, angles, or something else.</w:t>
      </w:r>
    </w:p>
    <w:p w14:paraId="26BEF1D1" w14:textId="77777777" w:rsidR="00A36CE0" w:rsidRPr="0036208A" w:rsidRDefault="00A36CE0" w:rsidP="00496476">
      <w:pPr>
        <w:pStyle w:val="Observation"/>
        <w:spacing w:after="160"/>
        <w:rPr>
          <w:sz w:val="20"/>
          <w:szCs w:val="20"/>
        </w:rPr>
      </w:pPr>
      <w:bookmarkStart w:id="37" w:name="_Toc54189361"/>
      <w:bookmarkStart w:id="38" w:name="_Toc54205946"/>
      <w:bookmarkStart w:id="39" w:name="_Toc54382811"/>
      <w:bookmarkStart w:id="40" w:name="_Toc58832837"/>
      <w:bookmarkStart w:id="41" w:name="_Toc61903468"/>
      <w:r w:rsidRPr="0036208A">
        <w:rPr>
          <w:sz w:val="20"/>
          <w:szCs w:val="20"/>
        </w:rPr>
        <w:t>The Rel-16 H/S concept is not applicable in space-domain.</w:t>
      </w:r>
      <w:bookmarkEnd w:id="37"/>
      <w:bookmarkEnd w:id="38"/>
      <w:bookmarkEnd w:id="39"/>
      <w:bookmarkEnd w:id="40"/>
      <w:bookmarkEnd w:id="41"/>
    </w:p>
    <w:p w14:paraId="064FB46C" w14:textId="77777777" w:rsidR="00A36CE0" w:rsidRPr="0036208A" w:rsidRDefault="00A36CE0" w:rsidP="00496476">
      <w:pPr>
        <w:pStyle w:val="Observation"/>
        <w:spacing w:after="160"/>
        <w:rPr>
          <w:sz w:val="20"/>
          <w:szCs w:val="20"/>
        </w:rPr>
      </w:pPr>
      <w:bookmarkStart w:id="42" w:name="_Toc54189362"/>
      <w:bookmarkStart w:id="43" w:name="_Toc54205947"/>
      <w:bookmarkStart w:id="44" w:name="_Toc54382812"/>
      <w:bookmarkStart w:id="45" w:name="_Toc58832838"/>
      <w:bookmarkStart w:id="46" w:name="_Toc61903469"/>
      <w:r w:rsidRPr="0036208A">
        <w:rPr>
          <w:sz w:val="20"/>
          <w:szCs w:val="20"/>
        </w:rPr>
        <w:t>Configuring NA on link-basis at the IAB-DU can be useful to semi-statically resource-wise restrict certain child link and/or access links of the IAB-DU.</w:t>
      </w:r>
      <w:bookmarkStart w:id="47" w:name="_Toc21012714"/>
      <w:bookmarkStart w:id="48" w:name="_Toc21013635"/>
      <w:bookmarkStart w:id="49" w:name="_Toc21013976"/>
      <w:bookmarkStart w:id="50" w:name="_Toc21073570"/>
      <w:bookmarkStart w:id="51" w:name="_Toc21073712"/>
      <w:bookmarkStart w:id="52" w:name="_Toc21073989"/>
      <w:bookmarkStart w:id="53" w:name="_Toc21079337"/>
      <w:bookmarkStart w:id="54" w:name="_Toc21096934"/>
      <w:bookmarkStart w:id="55" w:name="_Toc21096965"/>
      <w:bookmarkStart w:id="56" w:name="_Toc21097362"/>
      <w:bookmarkStart w:id="57" w:name="_Toc21097509"/>
      <w:bookmarkStart w:id="58" w:name="_Toc21097558"/>
      <w:bookmarkStart w:id="59" w:name="_Toc21098316"/>
      <w:bookmarkStart w:id="60" w:name="_Toc21111685"/>
      <w:bookmarkStart w:id="61" w:name="_Toc22566706"/>
      <w:bookmarkStart w:id="62" w:name="_Toc22646257"/>
      <w:bookmarkStart w:id="63" w:name="_Toc22649868"/>
      <w:bookmarkStart w:id="64" w:name="_Toc22893285"/>
      <w:bookmarkStart w:id="65" w:name="_Toc22894167"/>
      <w:bookmarkStart w:id="66" w:name="_Toc23164372"/>
      <w:bookmarkStart w:id="67" w:name="_Toc23164664"/>
      <w:bookmarkEnd w:id="42"/>
      <w:bookmarkEnd w:id="43"/>
      <w:bookmarkEnd w:id="44"/>
      <w:bookmarkEnd w:id="45"/>
      <w:bookmarkEnd w:id="46"/>
    </w:p>
    <w:p w14:paraId="3AC95060" w14:textId="77777777" w:rsidR="00A36CE0" w:rsidRPr="0036208A" w:rsidRDefault="00A36CE0" w:rsidP="00496476">
      <w:pPr>
        <w:pStyle w:val="Proposal"/>
        <w:spacing w:after="160"/>
        <w:rPr>
          <w:rFonts w:cs="Arial"/>
          <w:sz w:val="20"/>
          <w:szCs w:val="20"/>
        </w:rPr>
      </w:pPr>
      <w:bookmarkStart w:id="68" w:name="_Toc54189375"/>
      <w:bookmarkStart w:id="69" w:name="_Toc54205959"/>
      <w:bookmarkStart w:id="70" w:name="_Toc54382824"/>
      <w:bookmarkStart w:id="71" w:name="_Toc58832842"/>
      <w:bookmarkStart w:id="72" w:name="_Toc61903477"/>
      <w:r w:rsidRPr="0036208A">
        <w:rPr>
          <w:rFonts w:cs="Arial"/>
          <w:sz w:val="20"/>
          <w:szCs w:val="20"/>
        </w:rPr>
        <w:t>Further study whether and how to restrict IAB-DU from accessing certain space-domain resources (e.g., in terms of link, beam or angle).</w:t>
      </w:r>
      <w:bookmarkEnd w:id="68"/>
      <w:bookmarkEnd w:id="69"/>
      <w:bookmarkEnd w:id="70"/>
      <w:bookmarkEnd w:id="71"/>
      <w:bookmarkEnd w:id="72"/>
    </w:p>
    <w:p w14:paraId="581D551B" w14:textId="77777777" w:rsidR="00A36CE0" w:rsidRPr="0036208A" w:rsidRDefault="00A36CE0" w:rsidP="00496476">
      <w:pPr>
        <w:jc w:val="both"/>
        <w:rPr>
          <w:rFonts w:ascii="Arial" w:hAnsi="Arial" w:cs="Arial"/>
          <w:sz w:val="20"/>
          <w:szCs w:val="20"/>
        </w:rPr>
      </w:pPr>
      <w:r w:rsidRPr="0036208A">
        <w:rPr>
          <w:rFonts w:ascii="Arial" w:hAnsi="Arial" w:cs="Arial"/>
          <w:sz w:val="20"/>
          <w:szCs w:val="20"/>
        </w:rPr>
        <w:t>When H/S/NA is not configured, time- and/or frequency-domain resources of the DU cell can be treated as Soft with respect to the corresponding MT component carrier (CC). When the resource in question (either in time-domain or frequency-domain) cannot be used simultaneously by the IAB-MT and IAB-DU, treating the IAB-DU resource as soft gives the parent backhaul link priority to the resource. It is a reasonable strategy since the parent link typically carries higher traffic load than the child link(s) and has a higher demand for resources. When link properties and multiplexing capabilities allow, the resource in question can be used simultaneously by the IAB-MT and IAB-DU. Treating the IAB-DU resource as soft can be interpreted as follows:</w:t>
      </w:r>
    </w:p>
    <w:p w14:paraId="7856CBAA" w14:textId="77777777" w:rsidR="00A36CE0" w:rsidRPr="0036208A" w:rsidRDefault="00A36CE0" w:rsidP="00496476">
      <w:pPr>
        <w:pStyle w:val="ListParagraph"/>
        <w:numPr>
          <w:ilvl w:val="0"/>
          <w:numId w:val="24"/>
        </w:numPr>
        <w:contextualSpacing/>
        <w:jc w:val="both"/>
        <w:rPr>
          <w:rFonts w:ascii="Arial" w:eastAsiaTheme="minorHAnsi" w:hAnsi="Arial" w:cs="Arial"/>
          <w:sz w:val="20"/>
          <w:szCs w:val="20"/>
          <w:lang w:val="en-US"/>
        </w:rPr>
      </w:pPr>
      <w:r w:rsidRPr="0036208A">
        <w:rPr>
          <w:rFonts w:ascii="Arial" w:eastAsiaTheme="minorHAnsi" w:hAnsi="Arial" w:cs="Arial"/>
          <w:sz w:val="20"/>
          <w:szCs w:val="20"/>
          <w:lang w:val="en-US"/>
        </w:rPr>
        <w:t xml:space="preserve">regarding the Soft IAB-DU resource, the parent node could assume that the corresponding IAB-MT resource is available, and </w:t>
      </w:r>
    </w:p>
    <w:p w14:paraId="34D03750" w14:textId="77777777" w:rsidR="00A36CE0" w:rsidRPr="0036208A" w:rsidRDefault="00A36CE0" w:rsidP="00496476">
      <w:pPr>
        <w:pStyle w:val="ListParagraph"/>
        <w:numPr>
          <w:ilvl w:val="0"/>
          <w:numId w:val="24"/>
        </w:numPr>
        <w:contextualSpacing/>
        <w:jc w:val="both"/>
        <w:rPr>
          <w:rFonts w:ascii="Arial" w:eastAsiaTheme="minorHAnsi" w:hAnsi="Arial" w:cs="Arial"/>
          <w:sz w:val="20"/>
          <w:szCs w:val="20"/>
          <w:lang w:val="en-US"/>
        </w:rPr>
      </w:pPr>
      <w:r w:rsidRPr="0036208A">
        <w:rPr>
          <w:rFonts w:ascii="Arial" w:eastAsiaTheme="minorHAnsi" w:hAnsi="Arial" w:cs="Arial"/>
          <w:sz w:val="20"/>
          <w:szCs w:val="20"/>
          <w:lang w:val="en-US"/>
        </w:rPr>
        <w:t>the IAB-node capability enables the IAB-DU to use the soft resource simultaneously without impacting the IAB-MT.</w:t>
      </w:r>
    </w:p>
    <w:p w14:paraId="32E6C9F6" w14:textId="77777777" w:rsidR="00A36CE0" w:rsidRPr="0036208A" w:rsidRDefault="00A36CE0" w:rsidP="00496476">
      <w:pPr>
        <w:pStyle w:val="Proposal"/>
        <w:spacing w:after="160"/>
        <w:rPr>
          <w:rFonts w:cs="Arial"/>
          <w:sz w:val="20"/>
          <w:szCs w:val="20"/>
        </w:rPr>
      </w:pPr>
      <w:bookmarkStart w:id="73" w:name="_Toc21079338"/>
      <w:bookmarkStart w:id="74" w:name="_Toc21097363"/>
      <w:bookmarkStart w:id="75" w:name="_Toc21097510"/>
      <w:bookmarkStart w:id="76" w:name="_Toc21097559"/>
      <w:bookmarkStart w:id="77" w:name="_Toc21098317"/>
      <w:bookmarkStart w:id="78" w:name="_Toc23238162"/>
      <w:bookmarkStart w:id="79" w:name="_Toc23238611"/>
      <w:bookmarkStart w:id="80" w:name="_Toc23255582"/>
      <w:bookmarkStart w:id="81" w:name="_Toc23258012"/>
      <w:bookmarkStart w:id="82" w:name="_Toc23258405"/>
      <w:bookmarkStart w:id="83" w:name="_Toc23319283"/>
      <w:bookmarkStart w:id="84" w:name="_Toc45629715"/>
      <w:bookmarkStart w:id="85" w:name="_Toc45631281"/>
      <w:bookmarkStart w:id="86" w:name="_Toc45636688"/>
      <w:bookmarkStart w:id="87" w:name="_Toc45639184"/>
      <w:bookmarkStart w:id="88" w:name="_Toc45639252"/>
      <w:bookmarkStart w:id="89" w:name="_Toc45698720"/>
      <w:bookmarkStart w:id="90" w:name="_Toc45698533"/>
      <w:bookmarkStart w:id="91" w:name="_Toc45698545"/>
      <w:bookmarkStart w:id="92" w:name="_Toc45784688"/>
      <w:bookmarkStart w:id="93" w:name="_Toc45785262"/>
      <w:bookmarkStart w:id="94" w:name="_Toc45786038"/>
      <w:bookmarkStart w:id="95" w:name="_Toc46151866"/>
      <w:bookmarkStart w:id="96" w:name="_Toc46734761"/>
      <w:bookmarkStart w:id="97" w:name="_Toc47527064"/>
      <w:bookmarkStart w:id="98" w:name="_Toc47686294"/>
      <w:bookmarkStart w:id="99" w:name="_Toc47690392"/>
      <w:bookmarkStart w:id="100" w:name="_Toc47691762"/>
      <w:bookmarkStart w:id="101" w:name="_Toc47692224"/>
      <w:bookmarkStart w:id="102" w:name="_Toc47692318"/>
      <w:bookmarkStart w:id="103" w:name="_Toc47693433"/>
      <w:bookmarkStart w:id="104" w:name="_Toc47702396"/>
      <w:bookmarkStart w:id="105" w:name="_Toc47702959"/>
      <w:bookmarkStart w:id="106" w:name="_Toc47708275"/>
      <w:bookmarkStart w:id="107" w:name="_Toc47714243"/>
      <w:bookmarkStart w:id="108" w:name="_Toc47733732"/>
      <w:bookmarkStart w:id="109" w:name="_Toc47734086"/>
      <w:bookmarkStart w:id="110" w:name="_Toc54189376"/>
      <w:bookmarkStart w:id="111" w:name="_Toc54205960"/>
      <w:bookmarkStart w:id="112" w:name="_Toc54382825"/>
      <w:bookmarkStart w:id="113" w:name="_Toc58832843"/>
      <w:bookmarkStart w:id="114" w:name="_Toc6190347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73"/>
      <w:bookmarkEnd w:id="74"/>
      <w:bookmarkEnd w:id="75"/>
      <w:bookmarkEnd w:id="76"/>
      <w:bookmarkEnd w:id="77"/>
      <w:r w:rsidRPr="0036208A">
        <w:rPr>
          <w:rFonts w:cs="Arial"/>
          <w:sz w:val="20"/>
          <w:szCs w:val="20"/>
        </w:rPr>
        <w:t>A default resource attribute for the IAB-DU H/S/NA resource configuration is Soft.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ADEAA4C" w14:textId="77777777" w:rsidR="00A36CE0" w:rsidRPr="0036208A" w:rsidRDefault="00A36CE0" w:rsidP="00496476">
      <w:pPr>
        <w:pStyle w:val="Heading2"/>
        <w:tabs>
          <w:tab w:val="num" w:pos="576"/>
        </w:tabs>
        <w:jc w:val="both"/>
        <w:rPr>
          <w:lang w:val="en-US"/>
        </w:rPr>
      </w:pPr>
      <w:bookmarkStart w:id="115" w:name="_Toc54189377"/>
      <w:bookmarkStart w:id="116" w:name="_Toc54205961"/>
      <w:bookmarkEnd w:id="115"/>
      <w:bookmarkEnd w:id="116"/>
      <w:r w:rsidRPr="0036208A">
        <w:rPr>
          <w:lang w:val="en-US"/>
        </w:rPr>
        <w:t>Cell-specific signals at IAB-MT</w:t>
      </w:r>
    </w:p>
    <w:p w14:paraId="2B380DD6" w14:textId="77777777"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Regarding cell-specific/semi-static signals and channels at the IAB-DU, such as SSB transmission, PRACH reception, PDCCH transmission for Type0-PDCCH CSS sets configured by </w:t>
      </w:r>
      <w:r w:rsidRPr="0036208A">
        <w:rPr>
          <w:rFonts w:ascii="Arial" w:hAnsi="Arial" w:cs="Arial"/>
          <w:i/>
          <w:sz w:val="20"/>
          <w:szCs w:val="20"/>
        </w:rPr>
        <w:t>pdcchConfigSIB1</w:t>
      </w:r>
      <w:r w:rsidRPr="0036208A">
        <w:rPr>
          <w:rFonts w:ascii="Arial" w:hAnsi="Arial" w:cs="Arial"/>
          <w:sz w:val="20"/>
          <w:szCs w:val="20"/>
        </w:rPr>
        <w:t>, the same rule as in Rel-16 should be followed that the resource is treated as if it were a Hard DU resource, even if a DU NA or Soft resource is configured. This should be equally valid if a H/S/NA concept in frequency-domain is specified in Rel-17.</w:t>
      </w:r>
    </w:p>
    <w:p w14:paraId="2077979F" w14:textId="0C0F9773" w:rsidR="00A36CE0" w:rsidRPr="007A56E0" w:rsidRDefault="00A36CE0" w:rsidP="00496476">
      <w:pPr>
        <w:pStyle w:val="Proposal"/>
        <w:spacing w:after="160"/>
        <w:rPr>
          <w:rFonts w:cs="Arial"/>
          <w:sz w:val="20"/>
          <w:szCs w:val="20"/>
          <w:lang w:val="en-GB"/>
        </w:rPr>
      </w:pPr>
      <w:bookmarkStart w:id="117" w:name="_Toc54382826"/>
      <w:bookmarkStart w:id="118" w:name="_Toc58832844"/>
      <w:bookmarkStart w:id="119" w:name="_Toc61903479"/>
      <w:r w:rsidRPr="007A56E0">
        <w:rPr>
          <w:rFonts w:cs="Arial"/>
          <w:sz w:val="20"/>
          <w:szCs w:val="20"/>
          <w:lang w:val="en-GB"/>
        </w:rPr>
        <w:t>A frequency-domain DU resource assigned to cell-specific/semi-static signals/channels, such as SSB transmission, PRACH reception, PDCCH transmission for Type0-PDCCH CSS sets, is always treated as if it w</w:t>
      </w:r>
      <w:r w:rsidR="007737F3">
        <w:rPr>
          <w:rFonts w:cs="Arial"/>
          <w:sz w:val="20"/>
          <w:szCs w:val="20"/>
          <w:lang w:val="en-GB"/>
        </w:rPr>
        <w:t>as</w:t>
      </w:r>
      <w:r w:rsidRPr="007A56E0">
        <w:rPr>
          <w:rFonts w:cs="Arial"/>
          <w:sz w:val="20"/>
          <w:szCs w:val="20"/>
          <w:lang w:val="en-GB"/>
        </w:rPr>
        <w:t xml:space="preserve"> configured as a Hard DU resource.</w:t>
      </w:r>
      <w:bookmarkEnd w:id="117"/>
      <w:bookmarkEnd w:id="118"/>
      <w:bookmarkEnd w:id="119"/>
      <w:r w:rsidRPr="007A56E0">
        <w:rPr>
          <w:rFonts w:cs="Arial"/>
          <w:sz w:val="20"/>
          <w:szCs w:val="20"/>
          <w:lang w:val="en-GB"/>
        </w:rPr>
        <w:t xml:space="preserve">  </w:t>
      </w:r>
    </w:p>
    <w:p w14:paraId="2700702D" w14:textId="142BA0D7" w:rsidR="00A36CE0" w:rsidRPr="0015100D" w:rsidRDefault="00A36CE0" w:rsidP="00496476">
      <w:pPr>
        <w:jc w:val="both"/>
        <w:rPr>
          <w:rFonts w:ascii="Arial" w:hAnsi="Arial" w:cs="Arial"/>
          <w:sz w:val="20"/>
          <w:szCs w:val="20"/>
        </w:rPr>
      </w:pPr>
      <w:r w:rsidRPr="0015100D">
        <w:rPr>
          <w:rFonts w:ascii="Arial" w:hAnsi="Arial" w:cs="Arial"/>
          <w:sz w:val="20"/>
          <w:szCs w:val="20"/>
        </w:rPr>
        <w:t xml:space="preserve">Additionally, </w:t>
      </w:r>
      <w:r w:rsidR="008C2832" w:rsidRPr="0015100D">
        <w:rPr>
          <w:rFonts w:ascii="Arial" w:hAnsi="Arial" w:cs="Arial"/>
          <w:sz w:val="20"/>
          <w:szCs w:val="20"/>
        </w:rPr>
        <w:t xml:space="preserve">in order </w:t>
      </w:r>
      <w:r w:rsidRPr="0015100D">
        <w:rPr>
          <w:rFonts w:ascii="Arial" w:hAnsi="Arial" w:cs="Arial"/>
          <w:sz w:val="20"/>
          <w:szCs w:val="20"/>
        </w:rPr>
        <w:t>to be compatible with Rel-16 and earlier release UEs, the associated transmission direction at least for SSB transmission, PRACH reception, and SIB transmission at the IAB-DU should be maintained, even if the semi-static DL/UL configuration of DU of some IAB-nodes has been reverted to enable simultaneous IAB-MT and IAB-DU operations.</w:t>
      </w:r>
    </w:p>
    <w:p w14:paraId="56DC37C7" w14:textId="7B05E122" w:rsidR="00A36CE0" w:rsidRPr="00D75B25" w:rsidRDefault="00A36CE0" w:rsidP="00AF527F">
      <w:pPr>
        <w:pStyle w:val="Proposal"/>
        <w:rPr>
          <w:sz w:val="20"/>
          <w:szCs w:val="20"/>
        </w:rPr>
      </w:pPr>
      <w:bookmarkStart w:id="120" w:name="_Toc54382827"/>
      <w:bookmarkStart w:id="121" w:name="_Toc58832845"/>
      <w:bookmarkStart w:id="122" w:name="_Toc61903480"/>
      <w:r w:rsidRPr="00D75B25">
        <w:rPr>
          <w:sz w:val="20"/>
          <w:szCs w:val="20"/>
        </w:rPr>
        <w:t>Dedicated transmission directions in terms of DL/UL for cell-specific signals/channels should be maintained when configuring simultaneous operation at an IAB-node.</w:t>
      </w:r>
      <w:bookmarkEnd w:id="120"/>
      <w:bookmarkEnd w:id="121"/>
      <w:bookmarkEnd w:id="122"/>
    </w:p>
    <w:p w14:paraId="5954A76E" w14:textId="1A2017C8" w:rsidR="00A36CE0" w:rsidRPr="0036208A" w:rsidRDefault="00832CF3" w:rsidP="00496476">
      <w:pPr>
        <w:jc w:val="both"/>
        <w:rPr>
          <w:rFonts w:ascii="Arial" w:hAnsi="Arial" w:cs="Arial"/>
          <w:sz w:val="20"/>
          <w:szCs w:val="20"/>
        </w:rPr>
      </w:pPr>
      <w:r w:rsidRPr="0036208A">
        <w:rPr>
          <w:rFonts w:ascii="Arial" w:hAnsi="Arial" w:cs="Arial"/>
          <w:sz w:val="20"/>
          <w:szCs w:val="20"/>
        </w:rPr>
        <w:t>More specifically, a</w:t>
      </w:r>
      <w:r w:rsidR="00A36CE0" w:rsidRPr="0036208A">
        <w:rPr>
          <w:rFonts w:ascii="Arial" w:hAnsi="Arial" w:cs="Arial"/>
          <w:sz w:val="20"/>
          <w:szCs w:val="20"/>
        </w:rPr>
        <w:t xml:space="preserve"> Rel-15 UEs do</w:t>
      </w:r>
      <w:r w:rsidRPr="0036208A">
        <w:rPr>
          <w:rFonts w:ascii="Arial" w:hAnsi="Arial" w:cs="Arial"/>
          <w:sz w:val="20"/>
          <w:szCs w:val="20"/>
        </w:rPr>
        <w:t>es</w:t>
      </w:r>
      <w:r w:rsidR="00A36CE0" w:rsidRPr="0036208A">
        <w:rPr>
          <w:rFonts w:ascii="Arial" w:hAnsi="Arial" w:cs="Arial"/>
          <w:sz w:val="20"/>
          <w:szCs w:val="20"/>
        </w:rPr>
        <w:t xml:space="preserve"> not expect</w:t>
      </w:r>
      <w:r w:rsidR="00F25871">
        <w:rPr>
          <w:rFonts w:ascii="Arial" w:hAnsi="Arial" w:cs="Arial"/>
          <w:sz w:val="20"/>
          <w:szCs w:val="20"/>
        </w:rPr>
        <w:t xml:space="preserve"> any of the following events to occur</w:t>
      </w:r>
      <w:r w:rsidR="00A36CE0" w:rsidRPr="0036208A">
        <w:rPr>
          <w:rFonts w:ascii="Arial" w:hAnsi="Arial" w:cs="Arial"/>
          <w:sz w:val="20"/>
          <w:szCs w:val="20"/>
        </w:rPr>
        <w:t xml:space="preserve">: </w:t>
      </w:r>
    </w:p>
    <w:p w14:paraId="1FA81482" w14:textId="77777777" w:rsidR="00A36CE0" w:rsidRPr="0036208A" w:rsidRDefault="00A36CE0" w:rsidP="00496476">
      <w:pPr>
        <w:pStyle w:val="ListParagraph"/>
        <w:numPr>
          <w:ilvl w:val="0"/>
          <w:numId w:val="29"/>
        </w:numPr>
        <w:contextualSpacing/>
        <w:jc w:val="both"/>
        <w:rPr>
          <w:rFonts w:ascii="Arial" w:hAnsi="Arial" w:cs="Arial"/>
          <w:sz w:val="20"/>
          <w:szCs w:val="20"/>
          <w:lang w:val="en-US"/>
        </w:rPr>
      </w:pPr>
      <w:r w:rsidRPr="0036208A">
        <w:rPr>
          <w:rFonts w:ascii="Arial" w:hAnsi="Arial" w:cs="Arial"/>
          <w:sz w:val="20"/>
          <w:szCs w:val="20"/>
          <w:lang w:val="en-US"/>
        </w:rPr>
        <w:t>to be indicated as UL on symbols indicated for SSB reception;</w:t>
      </w:r>
    </w:p>
    <w:p w14:paraId="0E278823" w14:textId="77777777" w:rsidR="00A36CE0" w:rsidRPr="0036208A" w:rsidRDefault="00A36CE0" w:rsidP="00496476">
      <w:pPr>
        <w:pStyle w:val="ListParagraph"/>
        <w:numPr>
          <w:ilvl w:val="0"/>
          <w:numId w:val="29"/>
        </w:numPr>
        <w:contextualSpacing/>
        <w:jc w:val="both"/>
        <w:rPr>
          <w:rFonts w:ascii="Arial" w:hAnsi="Arial" w:cs="Arial"/>
          <w:sz w:val="20"/>
          <w:szCs w:val="20"/>
          <w:lang w:val="en-US"/>
        </w:rPr>
      </w:pPr>
      <w:r w:rsidRPr="0036208A">
        <w:rPr>
          <w:rFonts w:ascii="Arial" w:hAnsi="Arial" w:cs="Arial"/>
          <w:sz w:val="20"/>
          <w:szCs w:val="20"/>
          <w:lang w:val="en-US"/>
        </w:rPr>
        <w:t>to be indicated as DL on symbols indicated for PRACH transmission;</w:t>
      </w:r>
    </w:p>
    <w:p w14:paraId="1D9E5014" w14:textId="77777777" w:rsidR="00A36CE0" w:rsidRPr="0036208A" w:rsidRDefault="00A36CE0" w:rsidP="00496476">
      <w:pPr>
        <w:pStyle w:val="ListParagraph"/>
        <w:numPr>
          <w:ilvl w:val="0"/>
          <w:numId w:val="29"/>
        </w:numPr>
        <w:contextualSpacing/>
        <w:jc w:val="both"/>
        <w:rPr>
          <w:rFonts w:ascii="Arial" w:hAnsi="Arial" w:cs="Arial"/>
          <w:sz w:val="20"/>
          <w:szCs w:val="20"/>
          <w:lang w:val="en-US"/>
        </w:rPr>
      </w:pPr>
      <w:r w:rsidRPr="0036208A">
        <w:rPr>
          <w:rFonts w:ascii="Arial" w:hAnsi="Arial" w:cs="Arial"/>
          <w:sz w:val="20"/>
          <w:szCs w:val="20"/>
          <w:lang w:val="en-US"/>
        </w:rPr>
        <w:t>to be indicated as UL on symbols indicated for CORESET for Type0-PDCCH CSS set.</w:t>
      </w:r>
    </w:p>
    <w:p w14:paraId="5D72CCEE" w14:textId="4894D388"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However, an IAB-MT does not necessarily follow the same rule. In RAN1#-96bis, it </w:t>
      </w:r>
      <w:r w:rsidR="007E74C9" w:rsidRPr="0036208A">
        <w:rPr>
          <w:rFonts w:ascii="Arial" w:hAnsi="Arial" w:cs="Arial"/>
          <w:sz w:val="20"/>
          <w:szCs w:val="20"/>
        </w:rPr>
        <w:t>was</w:t>
      </w:r>
      <w:r w:rsidRPr="0036208A">
        <w:rPr>
          <w:rFonts w:ascii="Arial" w:hAnsi="Arial" w:cs="Arial"/>
          <w:sz w:val="20"/>
          <w:szCs w:val="20"/>
        </w:rPr>
        <w:t xml:space="preserve"> agreed that:</w:t>
      </w:r>
    </w:p>
    <w:tbl>
      <w:tblPr>
        <w:tblStyle w:val="TableGrid"/>
        <w:tblW w:w="0" w:type="auto"/>
        <w:tblLook w:val="04A0" w:firstRow="1" w:lastRow="0" w:firstColumn="1" w:lastColumn="0" w:noHBand="0" w:noVBand="1"/>
      </w:tblPr>
      <w:tblGrid>
        <w:gridCol w:w="9629"/>
      </w:tblGrid>
      <w:tr w:rsidR="00A36CE0" w:rsidRPr="0036208A" w14:paraId="39155241" w14:textId="77777777" w:rsidTr="00A010C0">
        <w:tc>
          <w:tcPr>
            <w:tcW w:w="9629" w:type="dxa"/>
          </w:tcPr>
          <w:p w14:paraId="182CB31C" w14:textId="77777777" w:rsidR="00A36CE0" w:rsidRPr="0036208A" w:rsidRDefault="00A36CE0" w:rsidP="00496476">
            <w:pPr>
              <w:jc w:val="both"/>
              <w:rPr>
                <w:rFonts w:ascii="Arial" w:hAnsi="Arial" w:cs="Arial"/>
                <w:sz w:val="20"/>
                <w:szCs w:val="20"/>
                <w:lang w:eastAsia="x-none"/>
              </w:rPr>
            </w:pPr>
            <w:r w:rsidRPr="0036208A">
              <w:rPr>
                <w:rFonts w:ascii="Arial" w:hAnsi="Arial" w:cs="Arial"/>
                <w:b/>
                <w:sz w:val="20"/>
                <w:szCs w:val="20"/>
                <w:highlight w:val="green"/>
                <w:u w:val="single"/>
                <w:lang w:eastAsia="x-none"/>
              </w:rPr>
              <w:lastRenderedPageBreak/>
              <w:t>Agreements</w:t>
            </w:r>
            <w:r w:rsidRPr="0036208A">
              <w:rPr>
                <w:rFonts w:ascii="Arial" w:hAnsi="Arial" w:cs="Arial"/>
                <w:sz w:val="20"/>
                <w:szCs w:val="20"/>
                <w:lang w:eastAsia="x-none"/>
              </w:rPr>
              <w:t>:</w:t>
            </w:r>
          </w:p>
          <w:p w14:paraId="05DFFB30" w14:textId="77777777" w:rsidR="00A36CE0" w:rsidRPr="0036208A" w:rsidRDefault="00A36CE0" w:rsidP="00496476">
            <w:pPr>
              <w:numPr>
                <w:ilvl w:val="0"/>
                <w:numId w:val="36"/>
              </w:numPr>
              <w:jc w:val="both"/>
              <w:rPr>
                <w:rFonts w:ascii="Arial" w:hAnsi="Arial" w:cs="Arial"/>
                <w:sz w:val="20"/>
                <w:szCs w:val="20"/>
              </w:rPr>
            </w:pPr>
            <w:r w:rsidRPr="0036208A">
              <w:rPr>
                <w:rFonts w:ascii="Arial" w:hAnsi="Arial" w:cs="Arial"/>
                <w:sz w:val="20"/>
                <w:szCs w:val="20"/>
              </w:rPr>
              <w:t>In case of Hard or Soft Indicated Available DU resources, no additional exception cases need to be defined for cell specific signals/channels to be transmitted or received by the MT in the same resource (e.g. SS/PBCH blocks, SI reception, RACH).</w:t>
            </w:r>
          </w:p>
          <w:p w14:paraId="7CB414E2" w14:textId="77777777" w:rsidR="00A36CE0" w:rsidRPr="0036208A" w:rsidRDefault="00A36CE0" w:rsidP="00496476">
            <w:pPr>
              <w:numPr>
                <w:ilvl w:val="1"/>
                <w:numId w:val="36"/>
              </w:numPr>
              <w:spacing w:before="60"/>
              <w:jc w:val="both"/>
              <w:rPr>
                <w:rFonts w:ascii="Arial" w:hAnsi="Arial" w:cs="Arial"/>
                <w:sz w:val="20"/>
                <w:szCs w:val="20"/>
              </w:rPr>
            </w:pPr>
            <w:r w:rsidRPr="0036208A">
              <w:rPr>
                <w:rFonts w:ascii="Arial" w:hAnsi="Arial" w:cs="Arial"/>
                <w:sz w:val="20"/>
                <w:szCs w:val="20"/>
              </w:rPr>
              <w:t>The decision on whether to give priority to the DU or to the MT for the use of the resource (e.g. in case of MT RACH transmission) is left to the IAB node implementation.</w:t>
            </w:r>
          </w:p>
          <w:p w14:paraId="23922800" w14:textId="286D481D" w:rsidR="00A36CE0" w:rsidRPr="0036208A" w:rsidRDefault="00A36CE0" w:rsidP="00496476">
            <w:pPr>
              <w:numPr>
                <w:ilvl w:val="1"/>
                <w:numId w:val="36"/>
              </w:numPr>
              <w:spacing w:before="60"/>
              <w:jc w:val="both"/>
              <w:rPr>
                <w:rFonts w:ascii="Arial" w:hAnsi="Arial" w:cs="Arial"/>
                <w:sz w:val="20"/>
                <w:szCs w:val="20"/>
              </w:rPr>
            </w:pPr>
            <w:r w:rsidRPr="0036208A">
              <w:rPr>
                <w:rFonts w:ascii="Arial" w:hAnsi="Arial" w:cs="Arial"/>
                <w:sz w:val="20"/>
                <w:szCs w:val="20"/>
              </w:rPr>
              <w:t xml:space="preserve">The IAB shall </w:t>
            </w:r>
            <w:r w:rsidR="00B81F2A" w:rsidRPr="0036208A">
              <w:rPr>
                <w:rFonts w:ascii="Arial" w:hAnsi="Arial" w:cs="Arial"/>
                <w:sz w:val="20"/>
                <w:szCs w:val="20"/>
              </w:rPr>
              <w:t>fulfil</w:t>
            </w:r>
            <w:r w:rsidRPr="0036208A">
              <w:rPr>
                <w:rFonts w:ascii="Arial" w:hAnsi="Arial" w:cs="Arial"/>
                <w:sz w:val="20"/>
                <w:szCs w:val="20"/>
              </w:rPr>
              <w:t xml:space="preserve"> its performance requirements in terms of measurement and transmission of cell specific signals / channels.</w:t>
            </w:r>
          </w:p>
        </w:tc>
      </w:tr>
    </w:tbl>
    <w:p w14:paraId="020161AE" w14:textId="149CE2A5"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The agreement is based on the understanding that for an IAB-MT, a configured SSB reception, SI reception, and PRACH transmission does not always need to be carried out. Considering the backhaul link is typically static and has good link quality, the impact </w:t>
      </w:r>
      <w:r w:rsidR="00EF30C4" w:rsidRPr="0036208A">
        <w:rPr>
          <w:rFonts w:ascii="Arial" w:hAnsi="Arial" w:cs="Arial"/>
          <w:sz w:val="20"/>
          <w:szCs w:val="20"/>
        </w:rPr>
        <w:t>from</w:t>
      </w:r>
      <w:r w:rsidRPr="0036208A">
        <w:rPr>
          <w:rFonts w:ascii="Arial" w:hAnsi="Arial" w:cs="Arial"/>
          <w:sz w:val="20"/>
          <w:szCs w:val="20"/>
        </w:rPr>
        <w:t xml:space="preserve"> not having SSB, PRACH or SIB under certain occasions </w:t>
      </w:r>
      <w:r w:rsidR="00EF30C4" w:rsidRPr="0036208A">
        <w:rPr>
          <w:rFonts w:ascii="Arial" w:hAnsi="Arial" w:cs="Arial"/>
          <w:sz w:val="20"/>
          <w:szCs w:val="20"/>
        </w:rPr>
        <w:t>is</w:t>
      </w:r>
      <w:r w:rsidRPr="0036208A">
        <w:rPr>
          <w:rFonts w:ascii="Arial" w:hAnsi="Arial" w:cs="Arial"/>
          <w:sz w:val="20"/>
          <w:szCs w:val="20"/>
        </w:rPr>
        <w:t xml:space="preserve"> not as critical as for the UEs.</w:t>
      </w:r>
    </w:p>
    <w:p w14:paraId="0A0D106E" w14:textId="77777777"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In addition, Rel-16 has specified means to configure the IAB-node and parent node with non-overlapping occasions for SSB and PRACH which are IAB-node-specific. </w:t>
      </w:r>
    </w:p>
    <w:p w14:paraId="323BF2A1" w14:textId="77777777" w:rsidR="00A36CE0" w:rsidRPr="0036208A" w:rsidRDefault="00A36CE0" w:rsidP="00496476">
      <w:pPr>
        <w:pStyle w:val="ListParagraph"/>
        <w:numPr>
          <w:ilvl w:val="0"/>
          <w:numId w:val="37"/>
        </w:numPr>
        <w:contextualSpacing/>
        <w:jc w:val="both"/>
        <w:rPr>
          <w:rFonts w:ascii="Arial" w:hAnsi="Arial" w:cs="Arial"/>
          <w:sz w:val="20"/>
          <w:szCs w:val="20"/>
          <w:lang w:val="en-US"/>
        </w:rPr>
      </w:pPr>
      <w:r w:rsidRPr="0036208A">
        <w:rPr>
          <w:rFonts w:ascii="Arial" w:hAnsi="Arial" w:cs="Arial"/>
          <w:sz w:val="20"/>
          <w:szCs w:val="20"/>
          <w:lang w:val="en-US"/>
        </w:rPr>
        <w:t xml:space="preserve">It has been agreed in RAN1#98bis that for inter-IAB-node discovery and measurement, the IAB-node does not expect STC and SMTC are overlapped in time. </w:t>
      </w:r>
    </w:p>
    <w:p w14:paraId="40D7CA78" w14:textId="77777777" w:rsidR="00A36CE0" w:rsidRPr="0036208A" w:rsidRDefault="00A36CE0" w:rsidP="00496476">
      <w:pPr>
        <w:pStyle w:val="ListParagraph"/>
        <w:numPr>
          <w:ilvl w:val="0"/>
          <w:numId w:val="37"/>
        </w:numPr>
        <w:contextualSpacing/>
        <w:jc w:val="both"/>
        <w:rPr>
          <w:rFonts w:ascii="Arial" w:hAnsi="Arial" w:cs="Arial"/>
          <w:sz w:val="20"/>
          <w:szCs w:val="20"/>
          <w:lang w:val="en-US"/>
        </w:rPr>
      </w:pPr>
      <w:r w:rsidRPr="0036208A">
        <w:rPr>
          <w:rFonts w:ascii="Arial" w:hAnsi="Arial" w:cs="Arial"/>
          <w:sz w:val="20"/>
          <w:szCs w:val="20"/>
          <w:lang w:val="en-US"/>
        </w:rPr>
        <w:t xml:space="preserve">It has been agreed in RAN1#96bis to use a time offset in subframe or slot to enable non-overlapping backhaul RACH occasions. </w:t>
      </w:r>
    </w:p>
    <w:p w14:paraId="76E7B141" w14:textId="2C2B62C0"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So, it is possible for </w:t>
      </w:r>
      <w:r w:rsidR="00C9331E">
        <w:rPr>
          <w:rFonts w:ascii="Arial" w:hAnsi="Arial" w:cs="Arial"/>
          <w:sz w:val="20"/>
          <w:szCs w:val="20"/>
        </w:rPr>
        <w:t xml:space="preserve">an </w:t>
      </w:r>
      <w:r w:rsidRPr="0036208A">
        <w:rPr>
          <w:rFonts w:ascii="Arial" w:hAnsi="Arial" w:cs="Arial"/>
          <w:sz w:val="20"/>
          <w:szCs w:val="20"/>
        </w:rPr>
        <w:t xml:space="preserve">IAB-donor-CU to configure proper transmission </w:t>
      </w:r>
      <w:r w:rsidR="00F95F52" w:rsidRPr="0036208A">
        <w:rPr>
          <w:rFonts w:ascii="Arial" w:hAnsi="Arial" w:cs="Arial"/>
          <w:sz w:val="20"/>
          <w:szCs w:val="20"/>
        </w:rPr>
        <w:t>occasions</w:t>
      </w:r>
      <w:r w:rsidRPr="0036208A">
        <w:rPr>
          <w:rFonts w:ascii="Arial" w:hAnsi="Arial" w:cs="Arial"/>
          <w:sz w:val="20"/>
          <w:szCs w:val="20"/>
        </w:rPr>
        <w:t xml:space="preserve"> to </w:t>
      </w:r>
      <w:r w:rsidR="00C9331E">
        <w:rPr>
          <w:rFonts w:ascii="Arial" w:hAnsi="Arial" w:cs="Arial"/>
          <w:sz w:val="20"/>
          <w:szCs w:val="20"/>
        </w:rPr>
        <w:t xml:space="preserve">an </w:t>
      </w:r>
      <w:r w:rsidRPr="0036208A">
        <w:rPr>
          <w:rFonts w:ascii="Arial" w:hAnsi="Arial" w:cs="Arial"/>
          <w:sz w:val="20"/>
          <w:szCs w:val="20"/>
        </w:rPr>
        <w:t>IAB-MT for SSB and PRACH, meanwhile, to enable simultaneous transmission or reception at the IAB-node. In th</w:t>
      </w:r>
      <w:r w:rsidR="00835BCB" w:rsidRPr="0036208A">
        <w:rPr>
          <w:rFonts w:ascii="Arial" w:hAnsi="Arial" w:cs="Arial"/>
          <w:sz w:val="20"/>
          <w:szCs w:val="20"/>
        </w:rPr>
        <w:t>is</w:t>
      </w:r>
      <w:r w:rsidRPr="0036208A">
        <w:rPr>
          <w:rFonts w:ascii="Arial" w:hAnsi="Arial" w:cs="Arial"/>
          <w:sz w:val="20"/>
          <w:szCs w:val="20"/>
        </w:rPr>
        <w:t xml:space="preserve"> case, an IAB-MT can</w:t>
      </w:r>
      <w:r w:rsidR="00D61FAC">
        <w:rPr>
          <w:rFonts w:ascii="Arial" w:hAnsi="Arial" w:cs="Arial"/>
          <w:sz w:val="20"/>
          <w:szCs w:val="20"/>
        </w:rPr>
        <w:t xml:space="preserve"> be assumed to</w:t>
      </w:r>
      <w:r w:rsidRPr="0036208A">
        <w:rPr>
          <w:rFonts w:ascii="Arial" w:hAnsi="Arial" w:cs="Arial"/>
          <w:sz w:val="20"/>
          <w:szCs w:val="20"/>
        </w:rPr>
        <w:t>:</w:t>
      </w:r>
    </w:p>
    <w:p w14:paraId="31880E90" w14:textId="57C2D19A" w:rsidR="00A36CE0" w:rsidRPr="0036208A" w:rsidRDefault="0052777F" w:rsidP="00496476">
      <w:pPr>
        <w:pStyle w:val="ListParagraph"/>
        <w:numPr>
          <w:ilvl w:val="0"/>
          <w:numId w:val="30"/>
        </w:numPr>
        <w:contextualSpacing/>
        <w:jc w:val="both"/>
        <w:rPr>
          <w:rFonts w:ascii="Arial" w:hAnsi="Arial" w:cs="Arial"/>
          <w:sz w:val="20"/>
          <w:szCs w:val="20"/>
          <w:lang w:val="en-US"/>
        </w:rPr>
      </w:pPr>
      <w:r>
        <w:rPr>
          <w:rFonts w:ascii="Arial" w:hAnsi="Arial" w:cs="Arial"/>
          <w:sz w:val="20"/>
          <w:szCs w:val="20"/>
          <w:lang w:val="en-US"/>
        </w:rPr>
        <w:t>not</w:t>
      </w:r>
      <w:r w:rsidR="00A36CE0" w:rsidRPr="0036208A">
        <w:rPr>
          <w:rFonts w:ascii="Arial" w:hAnsi="Arial" w:cs="Arial"/>
          <w:sz w:val="20"/>
          <w:szCs w:val="20"/>
          <w:lang w:val="en-US"/>
        </w:rPr>
        <w:t xml:space="preserve"> receiv</w:t>
      </w:r>
      <w:r>
        <w:rPr>
          <w:rFonts w:ascii="Arial" w:hAnsi="Arial" w:cs="Arial"/>
          <w:sz w:val="20"/>
          <w:szCs w:val="20"/>
          <w:lang w:val="en-US"/>
        </w:rPr>
        <w:t>e</w:t>
      </w:r>
      <w:r w:rsidR="00A36CE0" w:rsidRPr="0036208A">
        <w:rPr>
          <w:rFonts w:ascii="Arial" w:hAnsi="Arial" w:cs="Arial"/>
          <w:sz w:val="20"/>
          <w:szCs w:val="20"/>
          <w:lang w:val="en-US"/>
        </w:rPr>
        <w:t xml:space="preserve"> SSB if the associated symbols are indicated as UL;</w:t>
      </w:r>
    </w:p>
    <w:p w14:paraId="4BA37F35" w14:textId="50DB644A" w:rsidR="00A36CE0" w:rsidRPr="0036208A" w:rsidRDefault="0052777F" w:rsidP="00496476">
      <w:pPr>
        <w:pStyle w:val="ListParagraph"/>
        <w:numPr>
          <w:ilvl w:val="0"/>
          <w:numId w:val="30"/>
        </w:numPr>
        <w:contextualSpacing/>
        <w:jc w:val="both"/>
        <w:rPr>
          <w:rFonts w:ascii="Arial" w:hAnsi="Arial" w:cs="Arial"/>
          <w:sz w:val="20"/>
          <w:szCs w:val="20"/>
          <w:lang w:val="en-US"/>
        </w:rPr>
      </w:pPr>
      <w:r>
        <w:rPr>
          <w:rFonts w:ascii="Arial" w:hAnsi="Arial" w:cs="Arial"/>
          <w:sz w:val="20"/>
          <w:szCs w:val="20"/>
          <w:lang w:val="en-US"/>
        </w:rPr>
        <w:t>not</w:t>
      </w:r>
      <w:r w:rsidR="00A36CE0" w:rsidRPr="0036208A">
        <w:rPr>
          <w:rFonts w:ascii="Arial" w:hAnsi="Arial" w:cs="Arial"/>
          <w:sz w:val="20"/>
          <w:szCs w:val="20"/>
          <w:lang w:val="en-US"/>
        </w:rPr>
        <w:t xml:space="preserve"> transmit PRACH if the associated symbols are indicated as DL;</w:t>
      </w:r>
    </w:p>
    <w:p w14:paraId="5A53E660" w14:textId="6BAC449D" w:rsidR="00A36CE0" w:rsidRPr="0036208A" w:rsidRDefault="0052777F" w:rsidP="00496476">
      <w:pPr>
        <w:pStyle w:val="ListParagraph"/>
        <w:numPr>
          <w:ilvl w:val="0"/>
          <w:numId w:val="30"/>
        </w:numPr>
        <w:contextualSpacing/>
        <w:jc w:val="both"/>
        <w:rPr>
          <w:rFonts w:ascii="Arial" w:hAnsi="Arial" w:cs="Arial"/>
          <w:sz w:val="20"/>
          <w:szCs w:val="20"/>
          <w:lang w:val="en-US"/>
        </w:rPr>
      </w:pPr>
      <w:r>
        <w:rPr>
          <w:rFonts w:ascii="Arial" w:hAnsi="Arial" w:cs="Arial"/>
          <w:sz w:val="20"/>
          <w:szCs w:val="20"/>
          <w:lang w:val="en-US"/>
        </w:rPr>
        <w:t>not</w:t>
      </w:r>
      <w:r w:rsidR="00A36CE0" w:rsidRPr="0036208A">
        <w:rPr>
          <w:rFonts w:ascii="Arial" w:hAnsi="Arial" w:cs="Arial"/>
          <w:sz w:val="20"/>
          <w:szCs w:val="20"/>
          <w:lang w:val="en-US"/>
        </w:rPr>
        <w:t xml:space="preserve"> receiv</w:t>
      </w:r>
      <w:r>
        <w:rPr>
          <w:rFonts w:ascii="Arial" w:hAnsi="Arial" w:cs="Arial"/>
          <w:sz w:val="20"/>
          <w:szCs w:val="20"/>
          <w:lang w:val="en-US"/>
        </w:rPr>
        <w:t>e</w:t>
      </w:r>
      <w:r w:rsidR="00A36CE0" w:rsidRPr="0036208A">
        <w:rPr>
          <w:rFonts w:ascii="Arial" w:hAnsi="Arial" w:cs="Arial"/>
          <w:sz w:val="20"/>
          <w:szCs w:val="20"/>
          <w:lang w:val="en-US"/>
        </w:rPr>
        <w:t xml:space="preserve"> SIB if the associated symbols are indicated as UL.</w:t>
      </w:r>
      <w:r w:rsidR="00B6532B" w:rsidRPr="0036208A">
        <w:rPr>
          <w:rFonts w:ascii="Arial" w:hAnsi="Arial" w:cs="Arial"/>
          <w:sz w:val="20"/>
          <w:szCs w:val="20"/>
          <w:lang w:val="en-US"/>
        </w:rPr>
        <w:t xml:space="preserve"> </w:t>
      </w:r>
    </w:p>
    <w:p w14:paraId="5FB9CDB6" w14:textId="7B662626" w:rsidR="00A36CE0" w:rsidRPr="0036208A" w:rsidRDefault="00A36CE0" w:rsidP="00496476">
      <w:pPr>
        <w:pStyle w:val="Proposal"/>
        <w:spacing w:after="160"/>
        <w:rPr>
          <w:rFonts w:cs="Arial"/>
          <w:sz w:val="20"/>
          <w:szCs w:val="20"/>
        </w:rPr>
      </w:pPr>
      <w:bookmarkStart w:id="123" w:name="_Toc54382828"/>
      <w:bookmarkStart w:id="124" w:name="_Toc58832846"/>
      <w:bookmarkStart w:id="125" w:name="_Toc61903481"/>
      <w:r w:rsidRPr="0036208A">
        <w:rPr>
          <w:rFonts w:cs="Arial"/>
          <w:sz w:val="20"/>
          <w:szCs w:val="20"/>
        </w:rPr>
        <w:t xml:space="preserve">For IAB-MT 1) an indicated UL symbol overrides the configured SSB reception; 2) an indicated DL symbol overrides the configured PRACH transmission; 3) </w:t>
      </w:r>
      <w:r w:rsidRPr="00123DD9">
        <w:rPr>
          <w:rFonts w:cs="Arial"/>
          <w:sz w:val="20"/>
          <w:szCs w:val="20"/>
        </w:rPr>
        <w:t>an indicated UL symbol overrides the configured SI reception.</w:t>
      </w:r>
      <w:bookmarkEnd w:id="123"/>
      <w:bookmarkEnd w:id="124"/>
      <w:bookmarkEnd w:id="125"/>
    </w:p>
    <w:p w14:paraId="76159AFA" w14:textId="77777777" w:rsidR="00A36CE0" w:rsidRPr="00C9331E" w:rsidRDefault="00A36CE0" w:rsidP="00C9331E">
      <w:pPr>
        <w:pStyle w:val="Heading2"/>
      </w:pPr>
      <w:bookmarkStart w:id="126" w:name="_Ref58589138"/>
      <w:r w:rsidRPr="00C9331E">
        <w:t>Indication of multiplexing capability</w:t>
      </w:r>
      <w:bookmarkEnd w:id="126"/>
    </w:p>
    <w:p w14:paraId="35E75D2F" w14:textId="72CC39B9" w:rsidR="00A36CE0" w:rsidRPr="00C9331E" w:rsidRDefault="00A36CE0" w:rsidP="00C9331E">
      <w:pPr>
        <w:pStyle w:val="BodyText"/>
        <w:rPr>
          <w:rFonts w:cs="Arial"/>
          <w:sz w:val="20"/>
          <w:szCs w:val="20"/>
        </w:rPr>
      </w:pPr>
      <w:r w:rsidRPr="00C9331E">
        <w:rPr>
          <w:rFonts w:cs="Arial"/>
          <w:sz w:val="20"/>
          <w:szCs w:val="20"/>
        </w:rPr>
        <w:t xml:space="preserve">The semi-static configuration of H/S/NA is based on </w:t>
      </w:r>
      <w:r w:rsidR="009C0AD2" w:rsidRPr="00C9331E">
        <w:rPr>
          <w:rFonts w:cs="Arial"/>
          <w:sz w:val="20"/>
          <w:szCs w:val="20"/>
        </w:rPr>
        <w:t xml:space="preserve">the </w:t>
      </w:r>
      <w:r w:rsidRPr="00C9331E">
        <w:rPr>
          <w:rFonts w:cs="Arial"/>
          <w:sz w:val="20"/>
          <w:szCs w:val="20"/>
        </w:rPr>
        <w:t xml:space="preserve">multiplexing capability of the IAB-node. The parent node can also be provided with the multiplexing capability information, which has been indicated to </w:t>
      </w:r>
      <w:r w:rsidR="003F0ECD">
        <w:rPr>
          <w:rFonts w:cs="Arial"/>
          <w:sz w:val="20"/>
          <w:szCs w:val="20"/>
        </w:rPr>
        <w:t xml:space="preserve">the </w:t>
      </w:r>
      <w:r w:rsidRPr="00C9331E">
        <w:rPr>
          <w:rFonts w:cs="Arial"/>
          <w:sz w:val="20"/>
          <w:szCs w:val="20"/>
        </w:rPr>
        <w:t xml:space="preserve">IAB-donor-CU, so that the parent node can make a better </w:t>
      </w:r>
      <w:r w:rsidR="009C0AD2" w:rsidRPr="00C9331E">
        <w:rPr>
          <w:rFonts w:cs="Arial"/>
          <w:sz w:val="20"/>
          <w:szCs w:val="20"/>
        </w:rPr>
        <w:t>estimation</w:t>
      </w:r>
      <w:r w:rsidRPr="00C9331E">
        <w:rPr>
          <w:rFonts w:cs="Arial"/>
          <w:sz w:val="20"/>
          <w:szCs w:val="20"/>
        </w:rPr>
        <w:t xml:space="preserve"> of the resource usage at the IAB-node and</w:t>
      </w:r>
      <w:r w:rsidR="003F0ECD">
        <w:rPr>
          <w:rFonts w:cs="Arial"/>
          <w:sz w:val="20"/>
          <w:szCs w:val="20"/>
        </w:rPr>
        <w:t>,</w:t>
      </w:r>
      <w:r w:rsidRPr="00C9331E">
        <w:rPr>
          <w:rFonts w:cs="Arial"/>
          <w:sz w:val="20"/>
          <w:szCs w:val="20"/>
        </w:rPr>
        <w:t xml:space="preserve"> accordingly</w:t>
      </w:r>
      <w:r w:rsidR="003F0ECD">
        <w:rPr>
          <w:rFonts w:cs="Arial"/>
          <w:sz w:val="20"/>
          <w:szCs w:val="20"/>
        </w:rPr>
        <w:t>,</w:t>
      </w:r>
      <w:r w:rsidRPr="00C9331E">
        <w:rPr>
          <w:rFonts w:cs="Arial"/>
          <w:sz w:val="20"/>
          <w:szCs w:val="20"/>
        </w:rPr>
        <w:t xml:space="preserve"> the resource availability on the IAB-node’s parent backhaul link. However, the multiplexing capability of the IAB-node may change due to local circumstances, such as channel changes, fulfilment of simultaneous operation criteria, etc., in a dynamic way. Los</w:t>
      </w:r>
      <w:r w:rsidR="003F0ECD">
        <w:rPr>
          <w:rFonts w:cs="Arial"/>
          <w:sz w:val="20"/>
          <w:szCs w:val="20"/>
        </w:rPr>
        <w:t>ing</w:t>
      </w:r>
      <w:r w:rsidRPr="00C9331E">
        <w:rPr>
          <w:rFonts w:cs="Arial"/>
          <w:sz w:val="20"/>
          <w:szCs w:val="20"/>
        </w:rPr>
        <w:t xml:space="preserve"> track o</w:t>
      </w:r>
      <w:r w:rsidR="003F0ECD">
        <w:rPr>
          <w:rFonts w:cs="Arial"/>
          <w:sz w:val="20"/>
          <w:szCs w:val="20"/>
        </w:rPr>
        <w:t>f</w:t>
      </w:r>
      <w:r w:rsidRPr="00C9331E">
        <w:rPr>
          <w:rFonts w:cs="Arial"/>
          <w:sz w:val="20"/>
          <w:szCs w:val="20"/>
        </w:rPr>
        <w:t xml:space="preserve"> such change may lead to inappropriate scheduling decision at the parent node, which will cause resource wastage or situations </w:t>
      </w:r>
      <w:r w:rsidR="00653C33">
        <w:rPr>
          <w:rFonts w:cs="Arial"/>
          <w:sz w:val="20"/>
          <w:szCs w:val="20"/>
        </w:rPr>
        <w:t>with additional</w:t>
      </w:r>
      <w:r w:rsidRPr="00C9331E">
        <w:rPr>
          <w:rFonts w:cs="Arial"/>
          <w:sz w:val="20"/>
          <w:szCs w:val="20"/>
        </w:rPr>
        <w:t xml:space="preserve"> interference </w:t>
      </w:r>
      <w:r w:rsidR="00653C33">
        <w:rPr>
          <w:rFonts w:cs="Arial"/>
          <w:sz w:val="20"/>
          <w:szCs w:val="20"/>
        </w:rPr>
        <w:t>for</w:t>
      </w:r>
      <w:r w:rsidRPr="00C9331E">
        <w:rPr>
          <w:rFonts w:cs="Arial"/>
          <w:sz w:val="20"/>
          <w:szCs w:val="20"/>
        </w:rPr>
        <w:t xml:space="preserve"> the IAB-node.</w:t>
      </w:r>
    </w:p>
    <w:p w14:paraId="07EEB15D" w14:textId="77777777" w:rsidR="00A36CE0" w:rsidRPr="00C9331E" w:rsidRDefault="00A36CE0" w:rsidP="00496476">
      <w:pPr>
        <w:jc w:val="both"/>
        <w:rPr>
          <w:rFonts w:ascii="Arial" w:hAnsi="Arial" w:cs="Arial"/>
          <w:sz w:val="20"/>
          <w:szCs w:val="20"/>
        </w:rPr>
      </w:pPr>
      <w:r w:rsidRPr="00C9331E">
        <w:rPr>
          <w:rFonts w:ascii="Arial" w:hAnsi="Arial" w:cs="Arial"/>
          <w:sz w:val="20"/>
          <w:szCs w:val="20"/>
        </w:rPr>
        <w:t>For example, based on given hardware capability and channel conditions, the IAB-MT and IAB-DU can conduct simultaneous transmission and/or reception. The IAB-node thereby indicates TDM not required to the IAB-donor-CU, which will configure IAB-MT and IAB-DU resources accordingly to allow for the desired simultaneous operation. However, the required Case #6 and Case #7 timing operation cannot always be fulfilled by the parent node(s) and/or child node(s) under certain circumstances. In this case, the IAB-MT and IAB-DU can be limited to operate in a TDM manner. Without knowing that, the parent node may still schedule transmission from/to the IAB-MT which cannot be carried out by the IAB-node due to the operation at the IAB-DU using overlapping time and/or frequency resource. Therefore, it is beneficial to inform the parent node about the multiplexing-capability changes at the IAB-node.</w:t>
      </w:r>
    </w:p>
    <w:p w14:paraId="6B16F5BA" w14:textId="77777777" w:rsidR="00A36CE0" w:rsidRPr="0036208A" w:rsidRDefault="00A36CE0" w:rsidP="00496476">
      <w:pPr>
        <w:pStyle w:val="Proposal"/>
        <w:spacing w:after="160"/>
        <w:rPr>
          <w:rFonts w:cs="Arial"/>
          <w:sz w:val="20"/>
          <w:szCs w:val="20"/>
        </w:rPr>
      </w:pPr>
      <w:bookmarkStart w:id="127" w:name="_Toc54382829"/>
      <w:bookmarkStart w:id="128" w:name="_Toc58832847"/>
      <w:bookmarkStart w:id="129" w:name="_Toc61903482"/>
      <w:r w:rsidRPr="00C9331E">
        <w:rPr>
          <w:rFonts w:cs="Arial"/>
          <w:sz w:val="20"/>
          <w:szCs w:val="20"/>
        </w:rPr>
        <w:t>The parent node is dynamically provided with changes of the IAB-node’s multiplexing-capability.</w:t>
      </w:r>
      <w:bookmarkEnd w:id="127"/>
      <w:bookmarkEnd w:id="128"/>
      <w:bookmarkEnd w:id="129"/>
    </w:p>
    <w:p w14:paraId="6ADDE292" w14:textId="77777777" w:rsidR="00A36CE0" w:rsidRPr="0036208A" w:rsidRDefault="00A36CE0" w:rsidP="00496476">
      <w:pPr>
        <w:pStyle w:val="Heading2"/>
        <w:tabs>
          <w:tab w:val="num" w:pos="576"/>
        </w:tabs>
        <w:jc w:val="both"/>
        <w:rPr>
          <w:lang w:val="en-US"/>
        </w:rPr>
      </w:pPr>
      <w:r w:rsidRPr="0036208A">
        <w:rPr>
          <w:lang w:val="en-US"/>
        </w:rPr>
        <w:lastRenderedPageBreak/>
        <w:t>Coexistence of simultaneous operation and TDM</w:t>
      </w:r>
    </w:p>
    <w:p w14:paraId="5D49DA92" w14:textId="5F471A46"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When an IAB-node is capable of FDM, it can be configured with frequency-domain H/S/NA as </w:t>
      </w:r>
      <w:r w:rsidR="000B7B16">
        <w:rPr>
          <w:rFonts w:ascii="Arial" w:hAnsi="Arial" w:cs="Arial"/>
          <w:sz w:val="20"/>
          <w:szCs w:val="20"/>
        </w:rPr>
        <w:t xml:space="preserve">described </w:t>
      </w:r>
      <w:r w:rsidRPr="0036208A">
        <w:rPr>
          <w:rFonts w:ascii="Arial" w:hAnsi="Arial" w:cs="Arial"/>
          <w:sz w:val="20"/>
          <w:szCs w:val="20"/>
        </w:rPr>
        <w:t>in Section</w:t>
      </w:r>
      <w:r w:rsidR="000B7B16" w:rsidRPr="000B7B16">
        <w:rPr>
          <w:rFonts w:ascii="Arial" w:hAnsi="Arial" w:cs="Arial"/>
          <w:sz w:val="20"/>
          <w:szCs w:val="20"/>
        </w:rPr>
        <w:t> </w:t>
      </w:r>
      <w:r w:rsidRPr="0036208A">
        <w:rPr>
          <w:rFonts w:ascii="Arial" w:hAnsi="Arial" w:cs="Arial"/>
          <w:sz w:val="20"/>
          <w:szCs w:val="20"/>
        </w:rPr>
        <w:fldChar w:fldCharType="begin"/>
      </w:r>
      <w:r w:rsidRPr="0036208A">
        <w:rPr>
          <w:rFonts w:ascii="Arial" w:hAnsi="Arial" w:cs="Arial"/>
          <w:sz w:val="20"/>
          <w:szCs w:val="20"/>
        </w:rPr>
        <w:instrText xml:space="preserve"> REF _Ref58590315 \r \h </w:instrText>
      </w:r>
      <w:r w:rsidR="00011631" w:rsidRPr="0036208A">
        <w:rPr>
          <w:rFonts w:ascii="Arial" w:hAnsi="Arial" w:cs="Arial"/>
          <w:sz w:val="20"/>
          <w:szCs w:val="20"/>
        </w:rPr>
        <w:instrText xml:space="preserve"> \* MERGEFORMAT </w:instrText>
      </w:r>
      <w:r w:rsidRPr="0036208A">
        <w:rPr>
          <w:rFonts w:ascii="Arial" w:hAnsi="Arial" w:cs="Arial"/>
          <w:sz w:val="20"/>
          <w:szCs w:val="20"/>
        </w:rPr>
      </w:r>
      <w:r w:rsidRPr="0036208A">
        <w:rPr>
          <w:rFonts w:ascii="Arial" w:hAnsi="Arial" w:cs="Arial"/>
          <w:sz w:val="20"/>
          <w:szCs w:val="20"/>
        </w:rPr>
        <w:fldChar w:fldCharType="separate"/>
      </w:r>
      <w:r w:rsidR="009C0672">
        <w:rPr>
          <w:rFonts w:ascii="Arial" w:hAnsi="Arial" w:cs="Arial"/>
          <w:sz w:val="20"/>
          <w:szCs w:val="20"/>
        </w:rPr>
        <w:t>2.1.1</w:t>
      </w:r>
      <w:r w:rsidRPr="0036208A">
        <w:rPr>
          <w:rFonts w:ascii="Arial" w:hAnsi="Arial" w:cs="Arial"/>
          <w:sz w:val="20"/>
          <w:szCs w:val="20"/>
        </w:rPr>
        <w:fldChar w:fldCharType="end"/>
      </w:r>
      <w:r w:rsidRPr="0036208A">
        <w:rPr>
          <w:rFonts w:ascii="Arial" w:hAnsi="Arial" w:cs="Arial"/>
          <w:sz w:val="20"/>
          <w:szCs w:val="20"/>
        </w:rPr>
        <w:t xml:space="preserve">, which brings higher flexibility and lower latency. When an IAB-node is capable of SDM, the Rel-16 H/S concept is not applicable. In both cases, time-domain H/S is not needed since it does not lead to different IAB-MT and IAB-DU </w:t>
      </w:r>
      <w:r w:rsidR="00B81F2A" w:rsidRPr="0036208A">
        <w:rPr>
          <w:rFonts w:ascii="Arial" w:hAnsi="Arial" w:cs="Arial"/>
          <w:sz w:val="20"/>
          <w:szCs w:val="20"/>
        </w:rPr>
        <w:t>behaviors</w:t>
      </w:r>
      <w:r w:rsidRPr="0036208A">
        <w:rPr>
          <w:rFonts w:ascii="Arial" w:hAnsi="Arial" w:cs="Arial"/>
          <w:sz w:val="20"/>
          <w:szCs w:val="20"/>
        </w:rPr>
        <w:t xml:space="preserve"> which can use the time-domain resources simultaneously. So, it is beneficial to have H/S/NA for </w:t>
      </w:r>
      <w:r w:rsidR="00B77BC2" w:rsidRPr="0036208A">
        <w:rPr>
          <w:rFonts w:ascii="Arial" w:hAnsi="Arial" w:cs="Arial"/>
          <w:sz w:val="20"/>
          <w:szCs w:val="20"/>
        </w:rPr>
        <w:t>an</w:t>
      </w:r>
      <w:r w:rsidRPr="0036208A">
        <w:rPr>
          <w:rFonts w:ascii="Arial" w:hAnsi="Arial" w:cs="Arial"/>
          <w:sz w:val="20"/>
          <w:szCs w:val="20"/>
        </w:rPr>
        <w:t xml:space="preserve"> IAB-DU configured and relevant based on the multiplexing capability of the IAB-node, which is provided from the IAB-node to the IAB-donor-CU via F1-AP. However, as </w:t>
      </w:r>
      <w:r w:rsidR="007A5F9B" w:rsidRPr="0036208A">
        <w:rPr>
          <w:rFonts w:ascii="Arial" w:hAnsi="Arial" w:cs="Arial"/>
          <w:sz w:val="20"/>
          <w:szCs w:val="20"/>
        </w:rPr>
        <w:t>analyzed</w:t>
      </w:r>
      <w:r w:rsidRPr="0036208A">
        <w:rPr>
          <w:rFonts w:ascii="Arial" w:hAnsi="Arial" w:cs="Arial"/>
          <w:sz w:val="20"/>
          <w:szCs w:val="20"/>
        </w:rPr>
        <w:t xml:space="preserve"> in Section</w:t>
      </w:r>
      <w:r w:rsidR="007A5F9B">
        <w:rPr>
          <w:rFonts w:ascii="Arial" w:hAnsi="Arial" w:cs="Arial"/>
          <w:sz w:val="20"/>
          <w:szCs w:val="20"/>
        </w:rPr>
        <w:t> </w:t>
      </w:r>
      <w:r w:rsidRPr="0036208A">
        <w:rPr>
          <w:rFonts w:ascii="Arial" w:hAnsi="Arial" w:cs="Arial"/>
          <w:sz w:val="20"/>
          <w:szCs w:val="20"/>
        </w:rPr>
        <w:fldChar w:fldCharType="begin"/>
      </w:r>
      <w:r w:rsidRPr="0036208A">
        <w:rPr>
          <w:rFonts w:ascii="Arial" w:hAnsi="Arial" w:cs="Arial"/>
          <w:sz w:val="20"/>
          <w:szCs w:val="20"/>
        </w:rPr>
        <w:instrText xml:space="preserve"> REF _Ref58589138 \r \h </w:instrText>
      </w:r>
      <w:r w:rsidR="00011631" w:rsidRPr="0036208A">
        <w:rPr>
          <w:rFonts w:ascii="Arial" w:hAnsi="Arial" w:cs="Arial"/>
          <w:sz w:val="20"/>
          <w:szCs w:val="20"/>
        </w:rPr>
        <w:instrText xml:space="preserve"> \* MERGEFORMAT </w:instrText>
      </w:r>
      <w:r w:rsidRPr="0036208A">
        <w:rPr>
          <w:rFonts w:ascii="Arial" w:hAnsi="Arial" w:cs="Arial"/>
          <w:sz w:val="20"/>
          <w:szCs w:val="20"/>
        </w:rPr>
      </w:r>
      <w:r w:rsidRPr="0036208A">
        <w:rPr>
          <w:rFonts w:ascii="Arial" w:hAnsi="Arial" w:cs="Arial"/>
          <w:sz w:val="20"/>
          <w:szCs w:val="20"/>
        </w:rPr>
        <w:fldChar w:fldCharType="separate"/>
      </w:r>
      <w:r w:rsidR="009C0672">
        <w:rPr>
          <w:rFonts w:ascii="Arial" w:hAnsi="Arial" w:cs="Arial"/>
          <w:sz w:val="20"/>
          <w:szCs w:val="20"/>
        </w:rPr>
        <w:t>2.3</w:t>
      </w:r>
      <w:r w:rsidRPr="0036208A">
        <w:rPr>
          <w:rFonts w:ascii="Arial" w:hAnsi="Arial" w:cs="Arial"/>
          <w:sz w:val="20"/>
          <w:szCs w:val="20"/>
        </w:rPr>
        <w:fldChar w:fldCharType="end"/>
      </w:r>
      <w:r w:rsidRPr="0036208A">
        <w:rPr>
          <w:rFonts w:ascii="Arial" w:hAnsi="Arial" w:cs="Arial"/>
          <w:sz w:val="20"/>
          <w:szCs w:val="20"/>
        </w:rPr>
        <w:t xml:space="preserve">, the actual multiplexing capability of the IAB-node may change locally and dynamically. Such </w:t>
      </w:r>
      <w:r w:rsidR="007A5F9B">
        <w:rPr>
          <w:rFonts w:ascii="Arial" w:hAnsi="Arial" w:cs="Arial"/>
          <w:sz w:val="20"/>
          <w:szCs w:val="20"/>
        </w:rPr>
        <w:t xml:space="preserve">a </w:t>
      </w:r>
      <w:r w:rsidRPr="0036208A">
        <w:rPr>
          <w:rFonts w:ascii="Arial" w:hAnsi="Arial" w:cs="Arial"/>
          <w:sz w:val="20"/>
          <w:szCs w:val="20"/>
        </w:rPr>
        <w:t xml:space="preserve">change may not be captured by the IAB-donor-CU in time. Also, </w:t>
      </w:r>
      <w:r w:rsidR="007A5F9B">
        <w:rPr>
          <w:rFonts w:ascii="Arial" w:hAnsi="Arial" w:cs="Arial"/>
          <w:sz w:val="20"/>
          <w:szCs w:val="20"/>
        </w:rPr>
        <w:t>from the</w:t>
      </w:r>
      <w:r w:rsidRPr="0036208A">
        <w:rPr>
          <w:rFonts w:ascii="Arial" w:hAnsi="Arial" w:cs="Arial"/>
          <w:sz w:val="20"/>
          <w:szCs w:val="20"/>
        </w:rPr>
        <w:t xml:space="preserve"> system stability, consistency and </w:t>
      </w:r>
      <w:r w:rsidR="00B81F2A" w:rsidRPr="0036208A">
        <w:rPr>
          <w:rFonts w:ascii="Arial" w:hAnsi="Arial" w:cs="Arial"/>
          <w:sz w:val="20"/>
          <w:szCs w:val="20"/>
        </w:rPr>
        <w:t>signaling</w:t>
      </w:r>
      <w:r w:rsidRPr="0036208A">
        <w:rPr>
          <w:rFonts w:ascii="Arial" w:hAnsi="Arial" w:cs="Arial"/>
          <w:sz w:val="20"/>
          <w:szCs w:val="20"/>
        </w:rPr>
        <w:t xml:space="preserve"> efficiency point</w:t>
      </w:r>
      <w:r w:rsidR="007A5F9B">
        <w:rPr>
          <w:rFonts w:ascii="Arial" w:hAnsi="Arial" w:cs="Arial"/>
          <w:sz w:val="20"/>
          <w:szCs w:val="20"/>
        </w:rPr>
        <w:t>s</w:t>
      </w:r>
      <w:r w:rsidRPr="0036208A">
        <w:rPr>
          <w:rFonts w:ascii="Arial" w:hAnsi="Arial" w:cs="Arial"/>
          <w:sz w:val="20"/>
          <w:szCs w:val="20"/>
        </w:rPr>
        <w:t xml:space="preserve">-of-view, semi-static resource configuration is not supposed to be changed frequently. As a result, it is likely that the semi-static resource configuration becomes inconsistent with the variable actual IAB multiplexing capability, </w:t>
      </w:r>
      <w:r w:rsidR="0091452F" w:rsidRPr="0036208A">
        <w:rPr>
          <w:rFonts w:ascii="Arial" w:hAnsi="Arial" w:cs="Arial"/>
          <w:sz w:val="20"/>
          <w:szCs w:val="20"/>
        </w:rPr>
        <w:t>and accordingly</w:t>
      </w:r>
      <w:r w:rsidRPr="0036208A">
        <w:rPr>
          <w:rFonts w:ascii="Arial" w:hAnsi="Arial" w:cs="Arial"/>
          <w:sz w:val="20"/>
          <w:szCs w:val="20"/>
        </w:rPr>
        <w:t xml:space="preserve"> the intended H/S/NA configuration cannot be used by the IAB node.</w:t>
      </w:r>
    </w:p>
    <w:p w14:paraId="755303A7" w14:textId="22FDCBE3"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When the conditions for simultaneous transmission or reception temporarily fail, the IAB-node </w:t>
      </w:r>
      <w:proofErr w:type="gramStart"/>
      <w:r w:rsidRPr="0036208A">
        <w:rPr>
          <w:rFonts w:ascii="Arial" w:hAnsi="Arial" w:cs="Arial"/>
          <w:sz w:val="20"/>
          <w:szCs w:val="20"/>
        </w:rPr>
        <w:t>has to</w:t>
      </w:r>
      <w:proofErr w:type="gramEnd"/>
      <w:r w:rsidRPr="0036208A">
        <w:rPr>
          <w:rFonts w:ascii="Arial" w:hAnsi="Arial" w:cs="Arial"/>
          <w:sz w:val="20"/>
          <w:szCs w:val="20"/>
        </w:rPr>
        <w:t xml:space="preserve"> </w:t>
      </w:r>
      <w:r w:rsidR="004429E0">
        <w:rPr>
          <w:rFonts w:ascii="Arial" w:hAnsi="Arial" w:cs="Arial"/>
          <w:sz w:val="20"/>
          <w:szCs w:val="20"/>
        </w:rPr>
        <w:t>operate</w:t>
      </w:r>
      <w:r w:rsidRPr="0036208A">
        <w:rPr>
          <w:rFonts w:ascii="Arial" w:hAnsi="Arial" w:cs="Arial"/>
          <w:sz w:val="20"/>
          <w:szCs w:val="20"/>
        </w:rPr>
        <w:t xml:space="preserve"> in a TDM mode. So, it is </w:t>
      </w:r>
      <w:r w:rsidR="00C6711E">
        <w:rPr>
          <w:rFonts w:ascii="Arial" w:hAnsi="Arial" w:cs="Arial"/>
          <w:sz w:val="20"/>
          <w:szCs w:val="20"/>
        </w:rPr>
        <w:t>necessary</w:t>
      </w:r>
      <w:r w:rsidRPr="0036208A">
        <w:rPr>
          <w:rFonts w:ascii="Arial" w:hAnsi="Arial" w:cs="Arial"/>
          <w:sz w:val="20"/>
          <w:szCs w:val="20"/>
        </w:rPr>
        <w:t xml:space="preserve"> to always provide time-domain H/S/NA to the IAB-node even </w:t>
      </w:r>
      <w:proofErr w:type="gramStart"/>
      <w:r w:rsidRPr="0036208A">
        <w:rPr>
          <w:rFonts w:ascii="Arial" w:hAnsi="Arial" w:cs="Arial"/>
          <w:sz w:val="20"/>
          <w:szCs w:val="20"/>
        </w:rPr>
        <w:t>if ”TDM</w:t>
      </w:r>
      <w:proofErr w:type="gramEnd"/>
      <w:r w:rsidRPr="0036208A">
        <w:rPr>
          <w:rFonts w:ascii="Arial" w:hAnsi="Arial" w:cs="Arial"/>
          <w:sz w:val="20"/>
          <w:szCs w:val="20"/>
        </w:rPr>
        <w:t xml:space="preserve"> not required” is indicated to the IAB-donor-CU.</w:t>
      </w:r>
    </w:p>
    <w:p w14:paraId="0CC01E19" w14:textId="4C0DC3DD" w:rsidR="00A36CE0" w:rsidRPr="0036208A" w:rsidRDefault="00A36CE0" w:rsidP="00496476">
      <w:pPr>
        <w:pStyle w:val="Proposal"/>
        <w:spacing w:after="160"/>
        <w:rPr>
          <w:rFonts w:cs="Arial"/>
          <w:sz w:val="20"/>
          <w:szCs w:val="20"/>
        </w:rPr>
      </w:pPr>
      <w:bookmarkStart w:id="130" w:name="_Toc58832848"/>
      <w:bookmarkStart w:id="131" w:name="_Toc61903483"/>
      <w:r w:rsidRPr="0036208A">
        <w:rPr>
          <w:rFonts w:cs="Arial"/>
          <w:sz w:val="20"/>
          <w:szCs w:val="20"/>
        </w:rPr>
        <w:t xml:space="preserve">Time-domain H/S/NA configuration is always provided to the IAB-node even </w:t>
      </w:r>
      <w:proofErr w:type="gramStart"/>
      <w:r w:rsidR="009E2CBC" w:rsidRPr="0036208A">
        <w:rPr>
          <w:rFonts w:cs="Arial"/>
          <w:sz w:val="20"/>
          <w:szCs w:val="20"/>
        </w:rPr>
        <w:t>if ”TDM</w:t>
      </w:r>
      <w:proofErr w:type="gramEnd"/>
      <w:r w:rsidRPr="0036208A">
        <w:rPr>
          <w:rFonts w:cs="Arial"/>
          <w:sz w:val="20"/>
          <w:szCs w:val="20"/>
        </w:rPr>
        <w:t xml:space="preserve"> not required” is indicated to the IAB-donor-CU.</w:t>
      </w:r>
      <w:bookmarkEnd w:id="130"/>
      <w:bookmarkEnd w:id="131"/>
    </w:p>
    <w:p w14:paraId="414F6572" w14:textId="26416441" w:rsidR="00A36CE0" w:rsidRPr="0036208A" w:rsidRDefault="00A36CE0" w:rsidP="00496476">
      <w:pPr>
        <w:jc w:val="both"/>
        <w:rPr>
          <w:rFonts w:ascii="Arial" w:hAnsi="Arial" w:cs="Arial"/>
          <w:sz w:val="20"/>
          <w:szCs w:val="20"/>
        </w:rPr>
      </w:pPr>
      <w:r w:rsidRPr="0036208A">
        <w:rPr>
          <w:rFonts w:ascii="Arial" w:hAnsi="Arial" w:cs="Arial"/>
          <w:sz w:val="20"/>
          <w:szCs w:val="20"/>
        </w:rPr>
        <w:t>For a half-duplexing IAB node</w:t>
      </w:r>
      <w:proofErr w:type="gramStart"/>
      <w:r w:rsidR="009E2CBC" w:rsidRPr="0036208A">
        <w:rPr>
          <w:rFonts w:ascii="Arial" w:hAnsi="Arial" w:cs="Arial"/>
          <w:sz w:val="20"/>
          <w:szCs w:val="20"/>
        </w:rPr>
        <w:t>, ”TDM</w:t>
      </w:r>
      <w:proofErr w:type="gramEnd"/>
      <w:r w:rsidRPr="0036208A">
        <w:rPr>
          <w:rFonts w:ascii="Arial" w:hAnsi="Arial" w:cs="Arial"/>
          <w:sz w:val="20"/>
          <w:szCs w:val="20"/>
        </w:rPr>
        <w:t xml:space="preserve"> not required” can either be of FDM capable or SDM capable. As stated earlier, it is beneficial to configure </w:t>
      </w:r>
      <w:r w:rsidR="00D63C42" w:rsidRPr="0036208A">
        <w:rPr>
          <w:rFonts w:ascii="Arial" w:hAnsi="Arial" w:cs="Arial"/>
          <w:sz w:val="20"/>
          <w:szCs w:val="20"/>
        </w:rPr>
        <w:t>frequency</w:t>
      </w:r>
      <w:r w:rsidRPr="0036208A">
        <w:rPr>
          <w:rFonts w:ascii="Arial" w:hAnsi="Arial" w:cs="Arial"/>
          <w:sz w:val="20"/>
          <w:szCs w:val="20"/>
        </w:rPr>
        <w:t xml:space="preserve">-domain H/S/NA to an FDM-capable IAB-node. It is also possible that the multiplexing capability of an IAB-node is locally changed from SDM to FDM, due to, for example, timing and/or interference environment variations. </w:t>
      </w:r>
      <w:r w:rsidR="009E7AF1" w:rsidRPr="0036208A">
        <w:rPr>
          <w:rFonts w:ascii="Arial" w:hAnsi="Arial" w:cs="Arial"/>
          <w:sz w:val="20"/>
          <w:szCs w:val="20"/>
        </w:rPr>
        <w:t>As a result</w:t>
      </w:r>
      <w:r w:rsidRPr="0036208A">
        <w:rPr>
          <w:rFonts w:ascii="Arial" w:hAnsi="Arial" w:cs="Arial"/>
          <w:sz w:val="20"/>
          <w:szCs w:val="20"/>
        </w:rPr>
        <w:t xml:space="preserve">, the IAB-node still can perform simultaneous transmission or </w:t>
      </w:r>
      <w:r w:rsidR="00D63C42" w:rsidRPr="0036208A">
        <w:rPr>
          <w:rFonts w:ascii="Arial" w:hAnsi="Arial" w:cs="Arial"/>
          <w:sz w:val="20"/>
          <w:szCs w:val="20"/>
        </w:rPr>
        <w:t>reception but</w:t>
      </w:r>
      <w:r w:rsidRPr="0036208A">
        <w:rPr>
          <w:rFonts w:ascii="Arial" w:hAnsi="Arial" w:cs="Arial"/>
          <w:sz w:val="20"/>
          <w:szCs w:val="20"/>
        </w:rPr>
        <w:t xml:space="preserve"> is changed from using overlapping time and frequency resources to using overlapping time but non-overlapping frequency resources. In this case, configuring frequency-domain H/S/NA also to an SDM-capable IAB-node can better prepare the IAB-node for possible local multiplexing-capability changes. </w:t>
      </w:r>
    </w:p>
    <w:p w14:paraId="1DF3A161" w14:textId="186A0603" w:rsidR="00A36CE0" w:rsidRPr="0036208A" w:rsidRDefault="00A36CE0" w:rsidP="00496476">
      <w:pPr>
        <w:pStyle w:val="Proposal"/>
        <w:spacing w:after="160"/>
        <w:rPr>
          <w:rFonts w:cs="Arial"/>
          <w:sz w:val="20"/>
          <w:szCs w:val="20"/>
        </w:rPr>
      </w:pPr>
      <w:bookmarkStart w:id="132" w:name="_Toc58832849"/>
      <w:bookmarkStart w:id="133" w:name="_Toc61903484"/>
      <w:r w:rsidRPr="0036208A">
        <w:rPr>
          <w:rFonts w:cs="Arial"/>
          <w:sz w:val="20"/>
          <w:szCs w:val="20"/>
        </w:rPr>
        <w:t>Frequency-domain H/S/NA configuration is additionally provided to the IAB-node which has indicated “TDM not required” to the IAB-donor-CU.</w:t>
      </w:r>
      <w:bookmarkEnd w:id="132"/>
      <w:bookmarkEnd w:id="133"/>
    </w:p>
    <w:p w14:paraId="2682CD59" w14:textId="1C0E32EA" w:rsidR="00A36CE0" w:rsidRPr="0036208A" w:rsidRDefault="00A36CE0" w:rsidP="00496476">
      <w:pPr>
        <w:jc w:val="both"/>
        <w:rPr>
          <w:rFonts w:ascii="Arial" w:hAnsi="Arial" w:cs="Arial"/>
          <w:sz w:val="20"/>
          <w:szCs w:val="20"/>
        </w:rPr>
      </w:pPr>
      <w:r w:rsidRPr="0036208A">
        <w:rPr>
          <w:rFonts w:ascii="Arial" w:hAnsi="Arial" w:cs="Arial"/>
          <w:sz w:val="20"/>
          <w:szCs w:val="20"/>
        </w:rPr>
        <w:t>When the multiplexing capability of an IAB-node changes locally, e.g., from FDM to TDM, from SDM to TDM, from SDM to FDM, or the other way around, the parent node can be provided with such change according to Section</w:t>
      </w:r>
      <w:r w:rsidR="005115F8" w:rsidRPr="0036208A">
        <w:rPr>
          <w:rFonts w:ascii="Arial" w:hAnsi="Arial" w:cs="Arial"/>
          <w:sz w:val="20"/>
          <w:szCs w:val="20"/>
        </w:rPr>
        <w:t> </w:t>
      </w:r>
      <w:r w:rsidRPr="0036208A">
        <w:rPr>
          <w:rFonts w:ascii="Arial" w:hAnsi="Arial" w:cs="Arial"/>
          <w:sz w:val="20"/>
          <w:szCs w:val="20"/>
        </w:rPr>
        <w:fldChar w:fldCharType="begin"/>
      </w:r>
      <w:r w:rsidRPr="0036208A">
        <w:rPr>
          <w:rFonts w:ascii="Arial" w:hAnsi="Arial" w:cs="Arial"/>
          <w:sz w:val="20"/>
          <w:szCs w:val="20"/>
        </w:rPr>
        <w:instrText xml:space="preserve"> REF _Ref58589138 \r \h </w:instrText>
      </w:r>
      <w:r w:rsidR="00011631" w:rsidRPr="0036208A">
        <w:rPr>
          <w:rFonts w:ascii="Arial" w:hAnsi="Arial" w:cs="Arial"/>
          <w:sz w:val="20"/>
          <w:szCs w:val="20"/>
        </w:rPr>
        <w:instrText xml:space="preserve"> \* MERGEFORMAT </w:instrText>
      </w:r>
      <w:r w:rsidRPr="0036208A">
        <w:rPr>
          <w:rFonts w:ascii="Arial" w:hAnsi="Arial" w:cs="Arial"/>
          <w:sz w:val="20"/>
          <w:szCs w:val="20"/>
        </w:rPr>
      </w:r>
      <w:r w:rsidRPr="0036208A">
        <w:rPr>
          <w:rFonts w:ascii="Arial" w:hAnsi="Arial" w:cs="Arial"/>
          <w:sz w:val="20"/>
          <w:szCs w:val="20"/>
        </w:rPr>
        <w:fldChar w:fldCharType="separate"/>
      </w:r>
      <w:r w:rsidR="009C0672">
        <w:rPr>
          <w:rFonts w:ascii="Arial" w:hAnsi="Arial" w:cs="Arial"/>
          <w:sz w:val="20"/>
          <w:szCs w:val="20"/>
        </w:rPr>
        <w:t>2.3</w:t>
      </w:r>
      <w:r w:rsidRPr="0036208A">
        <w:rPr>
          <w:rFonts w:ascii="Arial" w:hAnsi="Arial" w:cs="Arial"/>
          <w:sz w:val="20"/>
          <w:szCs w:val="20"/>
        </w:rPr>
        <w:fldChar w:fldCharType="end"/>
      </w:r>
      <w:r w:rsidRPr="0036208A">
        <w:rPr>
          <w:rFonts w:ascii="Arial" w:hAnsi="Arial" w:cs="Arial"/>
          <w:sz w:val="20"/>
          <w:szCs w:val="20"/>
        </w:rPr>
        <w:t>. Meanwhile, the IAB-node turns to use the H/S/NA configuration that fits for the actual multiplexing capability. If the parent node has the information of all H/S/NA configurations that have been provided to the IAB-DU, based on the informed multiplexing-capability change, the parent node can also have a good understanding of which configuration the IAB-node is using, and thereby make appropriate assumption about the resource availability at the IAB-MT.</w:t>
      </w:r>
    </w:p>
    <w:p w14:paraId="030C9146" w14:textId="3DB2C020" w:rsidR="00A36CE0" w:rsidRPr="0036208A" w:rsidRDefault="00A36CE0" w:rsidP="00496476">
      <w:pPr>
        <w:pStyle w:val="Proposal"/>
        <w:spacing w:after="160"/>
        <w:rPr>
          <w:rFonts w:cs="Arial"/>
          <w:sz w:val="20"/>
          <w:szCs w:val="20"/>
        </w:rPr>
      </w:pPr>
      <w:bookmarkStart w:id="134" w:name="_Toc58832850"/>
      <w:bookmarkStart w:id="135" w:name="_Toc61903485"/>
      <w:r w:rsidRPr="0036208A">
        <w:rPr>
          <w:rFonts w:cs="Arial"/>
          <w:sz w:val="20"/>
          <w:szCs w:val="20"/>
        </w:rPr>
        <w:t>The parent node is aware of all IAB-DU resource configuration</w:t>
      </w:r>
      <w:r w:rsidR="00016F53">
        <w:rPr>
          <w:rFonts w:cs="Arial"/>
          <w:sz w:val="20"/>
          <w:szCs w:val="20"/>
        </w:rPr>
        <w:t>s</w:t>
      </w:r>
      <w:r w:rsidRPr="0036208A">
        <w:rPr>
          <w:rFonts w:cs="Arial"/>
          <w:sz w:val="20"/>
          <w:szCs w:val="20"/>
        </w:rPr>
        <w:t>, including both time-domain and frequency-domain H/S/NA configurations</w:t>
      </w:r>
      <w:r w:rsidR="00016F53">
        <w:rPr>
          <w:rFonts w:cs="Arial"/>
          <w:sz w:val="20"/>
          <w:szCs w:val="20"/>
        </w:rPr>
        <w:t>,</w:t>
      </w:r>
      <w:r w:rsidRPr="0036208A">
        <w:rPr>
          <w:rFonts w:cs="Arial"/>
          <w:sz w:val="20"/>
          <w:szCs w:val="20"/>
        </w:rPr>
        <w:t xml:space="preserve"> if provided.</w:t>
      </w:r>
      <w:bookmarkEnd w:id="134"/>
      <w:bookmarkEnd w:id="135"/>
      <w:r w:rsidRPr="0036208A">
        <w:rPr>
          <w:rFonts w:cs="Arial"/>
          <w:sz w:val="20"/>
          <w:szCs w:val="20"/>
        </w:rPr>
        <w:t xml:space="preserve">  </w:t>
      </w:r>
    </w:p>
    <w:p w14:paraId="3DC0E94D" w14:textId="67366095" w:rsidR="00A36CE0" w:rsidRPr="00121C7F" w:rsidRDefault="00A36CE0" w:rsidP="00121C7F">
      <w:pPr>
        <w:pStyle w:val="Heading2"/>
        <w:tabs>
          <w:tab w:val="num" w:pos="576"/>
        </w:tabs>
        <w:jc w:val="both"/>
        <w:rPr>
          <w:lang w:val="en-US"/>
        </w:rPr>
      </w:pPr>
      <w:r w:rsidRPr="00121C7F">
        <w:rPr>
          <w:lang w:val="en-US"/>
        </w:rPr>
        <w:t>DCI 2_5 for frequency-domain Soft resource</w:t>
      </w:r>
    </w:p>
    <w:p w14:paraId="2CC30FC8" w14:textId="6F6AE87D"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Explicit indication of frequency-domain Soft resource can be based on </w:t>
      </w:r>
      <w:r w:rsidR="00F04595">
        <w:rPr>
          <w:rFonts w:ascii="Arial" w:hAnsi="Arial" w:cs="Arial"/>
          <w:sz w:val="20"/>
          <w:szCs w:val="20"/>
        </w:rPr>
        <w:t xml:space="preserve">similar principles as </w:t>
      </w:r>
      <w:r w:rsidR="00370213">
        <w:rPr>
          <w:rFonts w:ascii="Arial" w:hAnsi="Arial" w:cs="Arial"/>
          <w:sz w:val="20"/>
          <w:szCs w:val="20"/>
        </w:rPr>
        <w:t xml:space="preserve">time-domain </w:t>
      </w:r>
      <w:r w:rsidRPr="0036208A">
        <w:rPr>
          <w:rFonts w:ascii="Arial" w:hAnsi="Arial" w:cs="Arial"/>
          <w:sz w:val="20"/>
          <w:szCs w:val="20"/>
        </w:rPr>
        <w:t>DCI</w:t>
      </w:r>
      <w:r w:rsidR="00F04595">
        <w:rPr>
          <w:rFonts w:ascii="Arial" w:hAnsi="Arial" w:cs="Arial"/>
          <w:sz w:val="20"/>
          <w:szCs w:val="20"/>
        </w:rPr>
        <w:t xml:space="preserve"> </w:t>
      </w:r>
      <w:r w:rsidR="00370213">
        <w:rPr>
          <w:rFonts w:ascii="Arial" w:hAnsi="Arial" w:cs="Arial"/>
          <w:sz w:val="20"/>
          <w:szCs w:val="20"/>
        </w:rPr>
        <w:t>in Rel-16</w:t>
      </w:r>
      <w:r w:rsidRPr="0036208A">
        <w:rPr>
          <w:rFonts w:ascii="Arial" w:hAnsi="Arial" w:cs="Arial"/>
          <w:sz w:val="20"/>
          <w:szCs w:val="20"/>
        </w:rPr>
        <w:t>. The following options can be considered:</w:t>
      </w:r>
    </w:p>
    <w:p w14:paraId="52413935" w14:textId="2A21612B" w:rsidR="00A36CE0" w:rsidRPr="0036208A" w:rsidRDefault="00A36CE0" w:rsidP="00496476">
      <w:pPr>
        <w:pStyle w:val="ListParagraph"/>
        <w:numPr>
          <w:ilvl w:val="0"/>
          <w:numId w:val="34"/>
        </w:numPr>
        <w:contextualSpacing/>
        <w:jc w:val="both"/>
        <w:rPr>
          <w:rFonts w:ascii="Arial" w:hAnsi="Arial" w:cs="Arial"/>
          <w:sz w:val="20"/>
          <w:szCs w:val="20"/>
          <w:lang w:val="en-US"/>
        </w:rPr>
      </w:pPr>
      <w:r w:rsidRPr="0036208A">
        <w:rPr>
          <w:rFonts w:ascii="Arial" w:hAnsi="Arial" w:cs="Arial"/>
          <w:sz w:val="20"/>
          <w:szCs w:val="20"/>
          <w:lang w:val="en-US"/>
        </w:rPr>
        <w:t>Preemption-like indication via DCI Format 2_1</w:t>
      </w:r>
      <w:r w:rsidR="00370213">
        <w:rPr>
          <w:rFonts w:ascii="Arial" w:hAnsi="Arial" w:cs="Arial"/>
          <w:sz w:val="20"/>
          <w:szCs w:val="20"/>
          <w:lang w:val="en-US"/>
        </w:rPr>
        <w:t>,</w:t>
      </w:r>
    </w:p>
    <w:p w14:paraId="2B3C8005" w14:textId="77DD8420" w:rsidR="00A36CE0" w:rsidRPr="0036208A" w:rsidRDefault="00A36CE0" w:rsidP="00496476">
      <w:pPr>
        <w:pStyle w:val="ListParagraph"/>
        <w:numPr>
          <w:ilvl w:val="0"/>
          <w:numId w:val="34"/>
        </w:numPr>
        <w:contextualSpacing/>
        <w:jc w:val="both"/>
        <w:rPr>
          <w:rFonts w:ascii="Arial" w:hAnsi="Arial" w:cs="Arial"/>
          <w:sz w:val="20"/>
          <w:szCs w:val="20"/>
          <w:lang w:val="en-US"/>
        </w:rPr>
      </w:pPr>
      <w:r w:rsidRPr="0036208A">
        <w:rPr>
          <w:rFonts w:ascii="Arial" w:hAnsi="Arial" w:cs="Arial"/>
          <w:sz w:val="20"/>
          <w:szCs w:val="20"/>
          <w:lang w:val="en-US"/>
        </w:rPr>
        <w:t>DCI 2_5 between</w:t>
      </w:r>
      <w:r w:rsidR="00CC3686">
        <w:rPr>
          <w:rFonts w:ascii="Arial" w:hAnsi="Arial" w:cs="Arial"/>
          <w:sz w:val="20"/>
          <w:szCs w:val="20"/>
          <w:lang w:val="en-US"/>
        </w:rPr>
        <w:t xml:space="preserve"> associated</w:t>
      </w:r>
      <w:r w:rsidRPr="0036208A">
        <w:rPr>
          <w:rFonts w:ascii="Arial" w:hAnsi="Arial" w:cs="Arial"/>
          <w:sz w:val="20"/>
          <w:szCs w:val="20"/>
          <w:lang w:val="en-US"/>
        </w:rPr>
        <w:t xml:space="preserve"> IAB-MT and IAB-DU</w:t>
      </w:r>
      <w:r w:rsidR="00CC3686">
        <w:rPr>
          <w:rFonts w:ascii="Arial" w:hAnsi="Arial" w:cs="Arial"/>
          <w:sz w:val="20"/>
          <w:szCs w:val="20"/>
          <w:lang w:val="en-US"/>
        </w:rPr>
        <w:t xml:space="preserve"> frequency resources such as IAB-RBGs or sets of IAB-RBGs</w:t>
      </w:r>
      <w:r w:rsidRPr="0036208A">
        <w:rPr>
          <w:rFonts w:ascii="Arial" w:hAnsi="Arial" w:cs="Arial"/>
          <w:sz w:val="20"/>
          <w:szCs w:val="20"/>
          <w:lang w:val="en-US"/>
        </w:rPr>
        <w:t>.</w:t>
      </w:r>
    </w:p>
    <w:p w14:paraId="4B080A85" w14:textId="7A2534E7" w:rsidR="00A36CE0" w:rsidRPr="0036208A" w:rsidRDefault="00A36CE0" w:rsidP="00496476">
      <w:pPr>
        <w:jc w:val="both"/>
        <w:rPr>
          <w:rFonts w:ascii="Arial" w:hAnsi="Arial" w:cs="Arial"/>
          <w:sz w:val="20"/>
          <w:szCs w:val="20"/>
        </w:rPr>
      </w:pPr>
      <w:r w:rsidRPr="0036208A">
        <w:rPr>
          <w:rFonts w:ascii="Arial" w:hAnsi="Arial" w:cs="Arial"/>
          <w:sz w:val="20"/>
          <w:szCs w:val="20"/>
        </w:rPr>
        <w:t xml:space="preserve">Preemption indication via DCI Format 2_1 is used to indicate to </w:t>
      </w:r>
      <w:r w:rsidR="00585A3E" w:rsidRPr="0036208A">
        <w:rPr>
          <w:rFonts w:ascii="Arial" w:hAnsi="Arial" w:cs="Arial"/>
          <w:sz w:val="20"/>
          <w:szCs w:val="20"/>
        </w:rPr>
        <w:t xml:space="preserve">a </w:t>
      </w:r>
      <w:r w:rsidRPr="0036208A">
        <w:rPr>
          <w:rFonts w:ascii="Arial" w:hAnsi="Arial" w:cs="Arial"/>
          <w:sz w:val="20"/>
          <w:szCs w:val="20"/>
        </w:rPr>
        <w:t xml:space="preserve">certain device that some of its resources have been pre-empted and </w:t>
      </w:r>
      <w:r w:rsidR="006061E9" w:rsidRPr="0036208A">
        <w:rPr>
          <w:rFonts w:ascii="Arial" w:hAnsi="Arial" w:cs="Arial"/>
          <w:sz w:val="20"/>
          <w:szCs w:val="20"/>
        </w:rPr>
        <w:t xml:space="preserve">are </w:t>
      </w:r>
      <w:r w:rsidRPr="0036208A">
        <w:rPr>
          <w:rFonts w:ascii="Arial" w:hAnsi="Arial" w:cs="Arial"/>
          <w:sz w:val="20"/>
          <w:szCs w:val="20"/>
        </w:rPr>
        <w:t xml:space="preserve">used for other purposes. It contains a bitmap representing OFDM symbols in time and full/half bandwidth part. </w:t>
      </w:r>
      <w:r w:rsidR="00D33259" w:rsidRPr="0036208A">
        <w:rPr>
          <w:rFonts w:ascii="Arial" w:hAnsi="Arial" w:cs="Arial"/>
          <w:sz w:val="20"/>
          <w:szCs w:val="20"/>
        </w:rPr>
        <w:t xml:space="preserve">In the bitmap, </w:t>
      </w:r>
      <w:r w:rsidRPr="0036208A">
        <w:rPr>
          <w:rFonts w:ascii="Arial" w:hAnsi="Arial" w:cs="Arial"/>
          <w:sz w:val="20"/>
          <w:szCs w:val="20"/>
        </w:rPr>
        <w:t xml:space="preserve">1 denotes the pre-empted resources. Similar structure can be used to indicate to the IAB-MT that certain </w:t>
      </w:r>
      <w:r w:rsidR="00525A38" w:rsidRPr="0036208A">
        <w:rPr>
          <w:rFonts w:ascii="Arial" w:hAnsi="Arial" w:cs="Arial"/>
          <w:sz w:val="20"/>
          <w:szCs w:val="20"/>
        </w:rPr>
        <w:t xml:space="preserve">frequency/time-domain </w:t>
      </w:r>
      <w:r w:rsidRPr="0036208A">
        <w:rPr>
          <w:rFonts w:ascii="Arial" w:hAnsi="Arial" w:cs="Arial"/>
          <w:sz w:val="20"/>
          <w:szCs w:val="20"/>
        </w:rPr>
        <w:t>resources (e.g., RBGs associated to one slot) are “pre-empted” by the IAB-DU Soft resources.</w:t>
      </w:r>
    </w:p>
    <w:p w14:paraId="0D1964C8" w14:textId="2D6EFC2D" w:rsidR="004E6640" w:rsidRPr="0036208A" w:rsidRDefault="00A36CE0" w:rsidP="00496476">
      <w:pPr>
        <w:jc w:val="both"/>
        <w:rPr>
          <w:rFonts w:ascii="Arial" w:hAnsi="Arial" w:cs="Arial"/>
          <w:sz w:val="20"/>
          <w:szCs w:val="20"/>
        </w:rPr>
      </w:pPr>
      <w:r w:rsidRPr="0036208A">
        <w:rPr>
          <w:rFonts w:ascii="Arial" w:hAnsi="Arial" w:cs="Arial"/>
          <w:sz w:val="20"/>
          <w:szCs w:val="20"/>
        </w:rPr>
        <w:lastRenderedPageBreak/>
        <w:t>Another option is to reuse DCI 2_5 which is used to indica</w:t>
      </w:r>
      <w:r w:rsidR="00FA674C" w:rsidRPr="0036208A">
        <w:rPr>
          <w:rFonts w:ascii="Arial" w:hAnsi="Arial" w:cs="Arial"/>
          <w:sz w:val="20"/>
          <w:szCs w:val="20"/>
        </w:rPr>
        <w:t>te</w:t>
      </w:r>
      <w:r w:rsidRPr="0036208A">
        <w:rPr>
          <w:rFonts w:ascii="Arial" w:hAnsi="Arial" w:cs="Arial"/>
          <w:sz w:val="20"/>
          <w:szCs w:val="20"/>
        </w:rPr>
        <w:t xml:space="preserve"> availability to time-domain IAB-DU Soft resource. Since there can be multiple frequency-domain Soft resources configured to RBGs associated to </w:t>
      </w:r>
      <w:r w:rsidR="005E3FC3" w:rsidRPr="0036208A">
        <w:rPr>
          <w:rFonts w:ascii="Arial" w:hAnsi="Arial" w:cs="Arial"/>
          <w:sz w:val="20"/>
          <w:szCs w:val="20"/>
        </w:rPr>
        <w:t>the same</w:t>
      </w:r>
      <w:r w:rsidRPr="0036208A">
        <w:rPr>
          <w:rFonts w:ascii="Arial" w:hAnsi="Arial" w:cs="Arial"/>
          <w:sz w:val="20"/>
          <w:szCs w:val="20"/>
        </w:rPr>
        <w:t xml:space="preserve"> slot, multiple DCI 2_5 </w:t>
      </w:r>
      <w:r w:rsidR="00CC3686">
        <w:rPr>
          <w:rFonts w:ascii="Arial" w:hAnsi="Arial" w:cs="Arial"/>
          <w:sz w:val="20"/>
          <w:szCs w:val="20"/>
        </w:rPr>
        <w:t xml:space="preserve">(or extensions thereof) </w:t>
      </w:r>
      <w:r w:rsidRPr="0036208A">
        <w:rPr>
          <w:rFonts w:ascii="Arial" w:hAnsi="Arial" w:cs="Arial"/>
          <w:sz w:val="20"/>
          <w:szCs w:val="20"/>
        </w:rPr>
        <w:t>can be used.</w:t>
      </w:r>
    </w:p>
    <w:p w14:paraId="0E886DD5" w14:textId="0E720DCD" w:rsidR="00A36CE0" w:rsidRPr="00D75B25" w:rsidRDefault="006354ED" w:rsidP="00496476">
      <w:pPr>
        <w:pStyle w:val="Proposal"/>
        <w:rPr>
          <w:sz w:val="20"/>
          <w:szCs w:val="20"/>
        </w:rPr>
      </w:pPr>
      <w:bookmarkStart w:id="136" w:name="_Toc61903486"/>
      <w:r w:rsidRPr="00D75B25">
        <w:rPr>
          <w:sz w:val="20"/>
          <w:szCs w:val="20"/>
        </w:rPr>
        <w:t>RAN1</w:t>
      </w:r>
      <w:r w:rsidR="00B16544" w:rsidRPr="00D75B25">
        <w:rPr>
          <w:sz w:val="20"/>
          <w:szCs w:val="20"/>
        </w:rPr>
        <w:t xml:space="preserve"> should consider DCI-based </w:t>
      </w:r>
      <w:r w:rsidR="00121C7F" w:rsidRPr="00D75B25">
        <w:rPr>
          <w:sz w:val="20"/>
          <w:szCs w:val="20"/>
        </w:rPr>
        <w:t xml:space="preserve">signaling for </w:t>
      </w:r>
      <w:r w:rsidR="00B16544" w:rsidRPr="00D75B25">
        <w:rPr>
          <w:sz w:val="20"/>
          <w:szCs w:val="20"/>
        </w:rPr>
        <w:t xml:space="preserve">explicit </w:t>
      </w:r>
      <w:r w:rsidR="00121C7F" w:rsidRPr="00D75B25">
        <w:rPr>
          <w:sz w:val="20"/>
          <w:szCs w:val="20"/>
        </w:rPr>
        <w:t xml:space="preserve">availability </w:t>
      </w:r>
      <w:r w:rsidR="00B16544" w:rsidRPr="00D75B25">
        <w:rPr>
          <w:sz w:val="20"/>
          <w:szCs w:val="20"/>
        </w:rPr>
        <w:t>indication of frequency-domain Soft resource</w:t>
      </w:r>
      <w:r w:rsidR="00121C7F" w:rsidRPr="00D75B25">
        <w:rPr>
          <w:sz w:val="20"/>
          <w:szCs w:val="20"/>
        </w:rPr>
        <w:t>s</w:t>
      </w:r>
      <w:r w:rsidR="00B16544" w:rsidRPr="00D75B25">
        <w:rPr>
          <w:sz w:val="20"/>
          <w:szCs w:val="20"/>
        </w:rPr>
        <w:t>.</w:t>
      </w:r>
      <w:bookmarkEnd w:id="136"/>
    </w:p>
    <w:p w14:paraId="4D04D22B" w14:textId="41C99AB7" w:rsidR="00D36B08" w:rsidRPr="0036208A" w:rsidRDefault="003270F4" w:rsidP="00496476">
      <w:pPr>
        <w:pStyle w:val="Heading2"/>
        <w:jc w:val="both"/>
        <w:rPr>
          <w:lang w:val="en-US"/>
        </w:rPr>
      </w:pPr>
      <w:r w:rsidRPr="0036208A">
        <w:rPr>
          <w:lang w:val="en-US"/>
        </w:rPr>
        <w:t>Guard symbols for IAB-MT and IAB-DU resource misalignment</w:t>
      </w:r>
    </w:p>
    <w:p w14:paraId="4E909ADF" w14:textId="5F9DCB88" w:rsidR="00891691" w:rsidRPr="0036208A" w:rsidRDefault="008E0297" w:rsidP="00496476">
      <w:pPr>
        <w:jc w:val="both"/>
        <w:rPr>
          <w:rStyle w:val="IvDbodytextChar"/>
          <w:spacing w:val="0"/>
          <w:sz w:val="20"/>
          <w:szCs w:val="20"/>
        </w:rPr>
      </w:pPr>
      <w:r w:rsidRPr="0036208A">
        <w:rPr>
          <w:rStyle w:val="IvDbodytextChar"/>
          <w:sz w:val="20"/>
          <w:szCs w:val="20"/>
        </w:rPr>
        <w:t xml:space="preserve">The Rel-16 guard symbols between IAB-MT and IAB-DU resources are for the case when both slot </w:t>
      </w:r>
      <w:r w:rsidRPr="0036208A">
        <w:rPr>
          <w:rStyle w:val="IvDbodytextChar"/>
          <w:i/>
          <w:sz w:val="20"/>
          <w:szCs w:val="20"/>
        </w:rPr>
        <w:t>(k-1)</w:t>
      </w:r>
      <w:r w:rsidRPr="0036208A">
        <w:rPr>
          <w:rStyle w:val="IvDbodytextChar"/>
          <w:sz w:val="20"/>
          <w:szCs w:val="20"/>
        </w:rPr>
        <w:t xml:space="preserve"> and slot </w:t>
      </w:r>
      <w:r w:rsidRPr="0036208A">
        <w:rPr>
          <w:rStyle w:val="IvDbodytextChar"/>
          <w:i/>
          <w:sz w:val="20"/>
          <w:szCs w:val="20"/>
        </w:rPr>
        <w:t>k</w:t>
      </w:r>
      <w:r w:rsidRPr="0036208A">
        <w:rPr>
          <w:rStyle w:val="IvDbodytextChar"/>
          <w:sz w:val="20"/>
          <w:szCs w:val="20"/>
        </w:rPr>
        <w:t xml:space="preserve"> operate in Case #1 timing alignment where IAB-MT and IAB-DU are in TDM mode</w:t>
      </w:r>
      <w:r w:rsidR="0025717B" w:rsidRPr="0036208A">
        <w:rPr>
          <w:rStyle w:val="IvDbodytextChar"/>
          <w:sz w:val="20"/>
          <w:szCs w:val="20"/>
        </w:rPr>
        <w:t>.</w:t>
      </w:r>
      <w:r w:rsidR="008C45B5" w:rsidRPr="0036208A">
        <w:rPr>
          <w:rFonts w:ascii="Arial" w:hAnsi="Arial" w:cs="Arial"/>
          <w:sz w:val="20"/>
          <w:szCs w:val="20"/>
        </w:rPr>
        <w:t xml:space="preserve"> </w:t>
      </w:r>
      <w:r w:rsidR="009B08DE" w:rsidRPr="0036208A">
        <w:rPr>
          <w:rFonts w:ascii="Arial" w:hAnsi="Arial" w:cs="Arial"/>
          <w:sz w:val="20"/>
          <w:szCs w:val="20"/>
        </w:rPr>
        <w:t>Rel-17 IAB takes simultaneous transmission and reception into consideration. As a result, an IAB-node may operate in Case #1, Case #6 or Case #7 timing. When Case #6 timing alignment is used, IAB-MT UL Tx timing is changed to be aligned with IAB-DU DL Tx timing. When Case #7 timing alignment is used, IAB-DU UL Rx timing is changed to be aligned with IAB-MT DL Rx timing. Accordingly, some of the desired guard symbols will change comparing to</w:t>
      </w:r>
      <w:r w:rsidR="003776F0" w:rsidRPr="0036208A">
        <w:rPr>
          <w:rFonts w:ascii="Arial" w:hAnsi="Arial" w:cs="Arial"/>
          <w:sz w:val="20"/>
          <w:szCs w:val="20"/>
        </w:rPr>
        <w:t xml:space="preserve"> </w:t>
      </w:r>
      <w:r w:rsidR="00C019FC" w:rsidRPr="0036208A">
        <w:rPr>
          <w:rFonts w:ascii="Arial" w:hAnsi="Arial" w:cs="Arial"/>
          <w:sz w:val="20"/>
          <w:szCs w:val="20"/>
        </w:rPr>
        <w:t>the</w:t>
      </w:r>
      <w:r w:rsidR="009B08DE" w:rsidRPr="0036208A">
        <w:rPr>
          <w:rFonts w:ascii="Arial" w:hAnsi="Arial" w:cs="Arial"/>
          <w:sz w:val="20"/>
          <w:szCs w:val="20"/>
        </w:rPr>
        <w:t xml:space="preserve"> </w:t>
      </w:r>
      <w:r w:rsidR="00776937" w:rsidRPr="0036208A">
        <w:rPr>
          <w:rFonts w:ascii="Arial" w:hAnsi="Arial" w:cs="Arial"/>
          <w:sz w:val="20"/>
          <w:szCs w:val="20"/>
        </w:rPr>
        <w:t>only Case #1</w:t>
      </w:r>
      <w:r w:rsidR="009B08DE" w:rsidRPr="0036208A">
        <w:rPr>
          <w:rFonts w:ascii="Arial" w:hAnsi="Arial" w:cs="Arial"/>
          <w:sz w:val="20"/>
          <w:szCs w:val="20"/>
        </w:rPr>
        <w:t xml:space="preserve"> guard symbols when the combinations of the timing-alignment cases in </w:t>
      </w:r>
      <w:r w:rsidR="009B08DE" w:rsidRPr="0036208A">
        <w:rPr>
          <w:rStyle w:val="IvDbodytextChar"/>
          <w:sz w:val="20"/>
          <w:szCs w:val="20"/>
        </w:rPr>
        <w:t xml:space="preserve">slot </w:t>
      </w:r>
      <w:r w:rsidR="009B08DE" w:rsidRPr="0036208A">
        <w:rPr>
          <w:rStyle w:val="IvDbodytextChar"/>
          <w:i/>
          <w:sz w:val="20"/>
          <w:szCs w:val="20"/>
        </w:rPr>
        <w:t>(k-1)</w:t>
      </w:r>
      <w:r w:rsidR="009B08DE" w:rsidRPr="0036208A">
        <w:rPr>
          <w:rStyle w:val="IvDbodytextChar"/>
          <w:sz w:val="20"/>
          <w:szCs w:val="20"/>
        </w:rPr>
        <w:t xml:space="preserve"> and slot </w:t>
      </w:r>
      <w:r w:rsidR="009B08DE" w:rsidRPr="0036208A">
        <w:rPr>
          <w:rStyle w:val="IvDbodytextChar"/>
          <w:i/>
          <w:sz w:val="20"/>
          <w:szCs w:val="20"/>
        </w:rPr>
        <w:t>k</w:t>
      </w:r>
      <w:r w:rsidR="009B08DE" w:rsidRPr="0036208A">
        <w:rPr>
          <w:rStyle w:val="IvDbodytextChar"/>
          <w:sz w:val="20"/>
          <w:szCs w:val="20"/>
        </w:rPr>
        <w:t xml:space="preserve"> are:</w:t>
      </w:r>
    </w:p>
    <w:p w14:paraId="18C4DE3A" w14:textId="77777777" w:rsidR="00FD04E8" w:rsidRPr="0036208A" w:rsidRDefault="00FD04E8" w:rsidP="00496476">
      <w:pPr>
        <w:pStyle w:val="BodyText"/>
        <w:keepLines/>
        <w:numPr>
          <w:ilvl w:val="0"/>
          <w:numId w:val="39"/>
        </w:numPr>
        <w:tabs>
          <w:tab w:val="left" w:pos="2552"/>
          <w:tab w:val="left" w:pos="3856"/>
          <w:tab w:val="left" w:pos="5216"/>
          <w:tab w:val="left" w:pos="6464"/>
          <w:tab w:val="left" w:pos="7768"/>
          <w:tab w:val="left" w:pos="9072"/>
          <w:tab w:val="left" w:pos="9639"/>
        </w:tabs>
        <w:spacing w:before="240" w:after="0"/>
        <w:rPr>
          <w:rFonts w:cs="Arial"/>
          <w:sz w:val="20"/>
          <w:szCs w:val="20"/>
        </w:rPr>
      </w:pPr>
      <w:r w:rsidRPr="0036208A">
        <w:rPr>
          <w:rFonts w:cs="Arial"/>
          <w:sz w:val="20"/>
          <w:szCs w:val="20"/>
        </w:rPr>
        <w:t>Case #1 and Case #6;</w:t>
      </w:r>
    </w:p>
    <w:p w14:paraId="538E054D" w14:textId="77777777" w:rsidR="00FD04E8" w:rsidRPr="0036208A" w:rsidRDefault="00FD04E8" w:rsidP="00496476">
      <w:pPr>
        <w:pStyle w:val="BodyText"/>
        <w:keepLines/>
        <w:numPr>
          <w:ilvl w:val="0"/>
          <w:numId w:val="39"/>
        </w:numPr>
        <w:tabs>
          <w:tab w:val="left" w:pos="2552"/>
          <w:tab w:val="left" w:pos="3856"/>
          <w:tab w:val="left" w:pos="5216"/>
          <w:tab w:val="left" w:pos="6464"/>
          <w:tab w:val="left" w:pos="7768"/>
          <w:tab w:val="left" w:pos="9072"/>
          <w:tab w:val="left" w:pos="9639"/>
        </w:tabs>
        <w:spacing w:before="240" w:after="0"/>
        <w:rPr>
          <w:rFonts w:cs="Arial"/>
          <w:sz w:val="20"/>
          <w:szCs w:val="20"/>
        </w:rPr>
      </w:pPr>
      <w:r w:rsidRPr="0036208A">
        <w:rPr>
          <w:rFonts w:cs="Arial"/>
          <w:sz w:val="20"/>
          <w:szCs w:val="20"/>
        </w:rPr>
        <w:t>Case #1 and Case #7;</w:t>
      </w:r>
    </w:p>
    <w:p w14:paraId="0A6E3796" w14:textId="77777777" w:rsidR="00FD04E8" w:rsidRPr="0036208A" w:rsidRDefault="00FD04E8" w:rsidP="00496476">
      <w:pPr>
        <w:pStyle w:val="BodyText"/>
        <w:keepLines/>
        <w:numPr>
          <w:ilvl w:val="0"/>
          <w:numId w:val="39"/>
        </w:numPr>
        <w:tabs>
          <w:tab w:val="left" w:pos="2552"/>
          <w:tab w:val="left" w:pos="3856"/>
          <w:tab w:val="left" w:pos="5216"/>
          <w:tab w:val="left" w:pos="6464"/>
          <w:tab w:val="left" w:pos="7768"/>
          <w:tab w:val="left" w:pos="9072"/>
          <w:tab w:val="left" w:pos="9639"/>
        </w:tabs>
        <w:spacing w:before="240" w:after="0"/>
        <w:rPr>
          <w:rFonts w:cs="Arial"/>
          <w:sz w:val="20"/>
          <w:szCs w:val="20"/>
        </w:rPr>
      </w:pPr>
      <w:r w:rsidRPr="0036208A">
        <w:rPr>
          <w:rFonts w:cs="Arial"/>
          <w:sz w:val="20"/>
          <w:szCs w:val="20"/>
        </w:rPr>
        <w:t>Case #6 and Case #1;</w:t>
      </w:r>
    </w:p>
    <w:p w14:paraId="41573C73" w14:textId="77777777" w:rsidR="00FD04E8" w:rsidRPr="0036208A" w:rsidRDefault="00FD04E8" w:rsidP="00496476">
      <w:pPr>
        <w:pStyle w:val="BodyText"/>
        <w:keepLines/>
        <w:numPr>
          <w:ilvl w:val="0"/>
          <w:numId w:val="39"/>
        </w:numPr>
        <w:tabs>
          <w:tab w:val="left" w:pos="2552"/>
          <w:tab w:val="left" w:pos="3856"/>
          <w:tab w:val="left" w:pos="5216"/>
          <w:tab w:val="left" w:pos="6464"/>
          <w:tab w:val="left" w:pos="7768"/>
          <w:tab w:val="left" w:pos="9072"/>
          <w:tab w:val="left" w:pos="9639"/>
        </w:tabs>
        <w:spacing w:before="240" w:after="0"/>
        <w:rPr>
          <w:rFonts w:cs="Arial"/>
          <w:sz w:val="20"/>
          <w:szCs w:val="20"/>
        </w:rPr>
      </w:pPr>
      <w:r w:rsidRPr="0036208A">
        <w:rPr>
          <w:rFonts w:cs="Arial"/>
          <w:sz w:val="20"/>
          <w:szCs w:val="20"/>
        </w:rPr>
        <w:t>Case #7 and Case #1;</w:t>
      </w:r>
    </w:p>
    <w:p w14:paraId="4AB6E224" w14:textId="77777777" w:rsidR="00FD04E8" w:rsidRPr="0036208A" w:rsidRDefault="00FD04E8" w:rsidP="00496476">
      <w:pPr>
        <w:pStyle w:val="BodyText"/>
        <w:keepLines/>
        <w:numPr>
          <w:ilvl w:val="0"/>
          <w:numId w:val="39"/>
        </w:numPr>
        <w:tabs>
          <w:tab w:val="left" w:pos="2552"/>
          <w:tab w:val="left" w:pos="3856"/>
          <w:tab w:val="left" w:pos="5216"/>
          <w:tab w:val="left" w:pos="6464"/>
          <w:tab w:val="left" w:pos="7768"/>
          <w:tab w:val="left" w:pos="9072"/>
          <w:tab w:val="left" w:pos="9639"/>
        </w:tabs>
        <w:spacing w:before="240" w:after="0"/>
        <w:rPr>
          <w:rFonts w:cs="Arial"/>
          <w:sz w:val="20"/>
          <w:szCs w:val="20"/>
        </w:rPr>
      </w:pPr>
      <w:r w:rsidRPr="0036208A">
        <w:rPr>
          <w:rFonts w:cs="Arial"/>
          <w:sz w:val="20"/>
          <w:szCs w:val="20"/>
        </w:rPr>
        <w:t>Case #6 and Case #7;</w:t>
      </w:r>
    </w:p>
    <w:p w14:paraId="650E5B2A" w14:textId="77777777" w:rsidR="00FD04E8" w:rsidRPr="0036208A" w:rsidRDefault="00FD04E8" w:rsidP="00496476">
      <w:pPr>
        <w:pStyle w:val="BodyText"/>
        <w:keepLines/>
        <w:numPr>
          <w:ilvl w:val="0"/>
          <w:numId w:val="39"/>
        </w:numPr>
        <w:tabs>
          <w:tab w:val="left" w:pos="2552"/>
          <w:tab w:val="left" w:pos="3856"/>
          <w:tab w:val="left" w:pos="5216"/>
          <w:tab w:val="left" w:pos="6464"/>
          <w:tab w:val="left" w:pos="7768"/>
          <w:tab w:val="left" w:pos="9072"/>
          <w:tab w:val="left" w:pos="9639"/>
        </w:tabs>
        <w:spacing w:before="240" w:after="0"/>
        <w:rPr>
          <w:rFonts w:cs="Arial"/>
          <w:sz w:val="20"/>
          <w:szCs w:val="20"/>
        </w:rPr>
      </w:pPr>
      <w:r w:rsidRPr="0036208A">
        <w:rPr>
          <w:rFonts w:cs="Arial"/>
          <w:sz w:val="20"/>
          <w:szCs w:val="20"/>
        </w:rPr>
        <w:t>Case #7 and Case #6;</w:t>
      </w:r>
    </w:p>
    <w:p w14:paraId="30D989C6" w14:textId="77777777" w:rsidR="00FD04E8" w:rsidRPr="0036208A" w:rsidRDefault="00FD04E8" w:rsidP="00496476">
      <w:pPr>
        <w:pStyle w:val="BodyText"/>
        <w:keepLines/>
        <w:numPr>
          <w:ilvl w:val="0"/>
          <w:numId w:val="39"/>
        </w:numPr>
        <w:tabs>
          <w:tab w:val="left" w:pos="2552"/>
          <w:tab w:val="left" w:pos="3856"/>
          <w:tab w:val="left" w:pos="5216"/>
          <w:tab w:val="left" w:pos="6464"/>
          <w:tab w:val="left" w:pos="7768"/>
          <w:tab w:val="left" w:pos="9072"/>
          <w:tab w:val="left" w:pos="9639"/>
        </w:tabs>
        <w:spacing w:before="240" w:after="0"/>
        <w:rPr>
          <w:rFonts w:cs="Arial"/>
          <w:sz w:val="20"/>
          <w:szCs w:val="20"/>
        </w:rPr>
      </w:pPr>
      <w:r w:rsidRPr="0036208A">
        <w:rPr>
          <w:rFonts w:cs="Arial"/>
          <w:sz w:val="20"/>
          <w:szCs w:val="20"/>
        </w:rPr>
        <w:t xml:space="preserve">Case #6 and Case #6; and </w:t>
      </w:r>
    </w:p>
    <w:p w14:paraId="4D8BFF6E" w14:textId="3E612BC9" w:rsidR="00056CD8" w:rsidRPr="0036208A" w:rsidRDefault="00FD04E8" w:rsidP="00496476">
      <w:pPr>
        <w:pStyle w:val="BodyText"/>
        <w:keepLines/>
        <w:numPr>
          <w:ilvl w:val="0"/>
          <w:numId w:val="39"/>
        </w:numPr>
        <w:tabs>
          <w:tab w:val="left" w:pos="2552"/>
          <w:tab w:val="left" w:pos="3856"/>
          <w:tab w:val="left" w:pos="5216"/>
          <w:tab w:val="left" w:pos="6464"/>
          <w:tab w:val="left" w:pos="7768"/>
          <w:tab w:val="left" w:pos="9072"/>
          <w:tab w:val="left" w:pos="9639"/>
        </w:tabs>
        <w:spacing w:before="240" w:after="0"/>
        <w:rPr>
          <w:rFonts w:cs="Arial"/>
          <w:sz w:val="20"/>
          <w:szCs w:val="20"/>
        </w:rPr>
      </w:pPr>
      <w:r w:rsidRPr="0036208A">
        <w:rPr>
          <w:rFonts w:cs="Arial"/>
          <w:sz w:val="20"/>
          <w:szCs w:val="20"/>
        </w:rPr>
        <w:t>Case #7 and Case #7.</w:t>
      </w:r>
    </w:p>
    <w:p w14:paraId="27340796" w14:textId="53936EE4" w:rsidR="0080473C" w:rsidRPr="0036208A" w:rsidRDefault="00161AFC" w:rsidP="00496476">
      <w:pPr>
        <w:pStyle w:val="BodyText"/>
        <w:keepLines/>
        <w:tabs>
          <w:tab w:val="left" w:pos="2552"/>
          <w:tab w:val="left" w:pos="3856"/>
          <w:tab w:val="left" w:pos="5216"/>
          <w:tab w:val="left" w:pos="6464"/>
          <w:tab w:val="left" w:pos="7768"/>
          <w:tab w:val="left" w:pos="9072"/>
          <w:tab w:val="left" w:pos="9639"/>
        </w:tabs>
        <w:spacing w:before="240" w:after="0"/>
      </w:pPr>
      <w:r w:rsidRPr="0036208A">
        <w:rPr>
          <w:rFonts w:cs="Arial"/>
          <w:sz w:val="20"/>
          <w:szCs w:val="20"/>
        </w:rPr>
        <w:t xml:space="preserve">Consider that </w:t>
      </w:r>
      <w:r w:rsidR="004C2A06">
        <w:rPr>
          <w:rFonts w:cs="Arial"/>
          <w:sz w:val="20"/>
          <w:szCs w:val="20"/>
        </w:rPr>
        <w:t xml:space="preserve">a </w:t>
      </w:r>
      <w:r w:rsidR="009E4167" w:rsidRPr="0036208A">
        <w:rPr>
          <w:rFonts w:cs="Arial"/>
          <w:sz w:val="20"/>
          <w:szCs w:val="20"/>
        </w:rPr>
        <w:t xml:space="preserve">Rel-17 IAB-node may need to frequently switch among </w:t>
      </w:r>
      <w:r w:rsidR="009720E1" w:rsidRPr="0036208A">
        <w:rPr>
          <w:rFonts w:cs="Arial"/>
          <w:sz w:val="20"/>
          <w:szCs w:val="20"/>
        </w:rPr>
        <w:t>Case #1, Case #6 and Case #7 timing</w:t>
      </w:r>
      <w:r w:rsidR="006243DA" w:rsidRPr="0036208A">
        <w:rPr>
          <w:rFonts w:cs="Arial"/>
          <w:sz w:val="20"/>
          <w:szCs w:val="20"/>
        </w:rPr>
        <w:t xml:space="preserve">. </w:t>
      </w:r>
      <w:r w:rsidR="00D33296" w:rsidRPr="0036208A">
        <w:rPr>
          <w:rFonts w:cs="Arial"/>
          <w:sz w:val="20"/>
          <w:szCs w:val="20"/>
        </w:rPr>
        <w:t>It is not eff</w:t>
      </w:r>
      <w:r w:rsidR="00775602" w:rsidRPr="0036208A">
        <w:rPr>
          <w:rFonts w:cs="Arial"/>
          <w:sz w:val="20"/>
          <w:szCs w:val="20"/>
        </w:rPr>
        <w:t xml:space="preserve">icient from </w:t>
      </w:r>
      <w:r w:rsidR="004C2A06">
        <w:rPr>
          <w:rFonts w:cs="Arial"/>
          <w:sz w:val="20"/>
          <w:szCs w:val="20"/>
        </w:rPr>
        <w:t xml:space="preserve">a </w:t>
      </w:r>
      <w:r w:rsidR="00775602" w:rsidRPr="0036208A">
        <w:rPr>
          <w:rFonts w:cs="Arial"/>
          <w:sz w:val="20"/>
          <w:szCs w:val="20"/>
        </w:rPr>
        <w:t xml:space="preserve">signaling overhead perspective </w:t>
      </w:r>
      <w:r w:rsidR="00984250" w:rsidRPr="0036208A">
        <w:rPr>
          <w:rFonts w:cs="Arial"/>
          <w:sz w:val="20"/>
          <w:szCs w:val="20"/>
        </w:rPr>
        <w:t xml:space="preserve">for an IAB-node </w:t>
      </w:r>
      <w:r w:rsidR="007E2817" w:rsidRPr="0036208A">
        <w:rPr>
          <w:rFonts w:cs="Arial"/>
          <w:sz w:val="20"/>
          <w:szCs w:val="20"/>
        </w:rPr>
        <w:t xml:space="preserve">and its parent node to exchange information of guard symbols every time when </w:t>
      </w:r>
      <w:r w:rsidR="008E72E9" w:rsidRPr="0036208A">
        <w:rPr>
          <w:rFonts w:cs="Arial"/>
          <w:sz w:val="20"/>
          <w:szCs w:val="20"/>
        </w:rPr>
        <w:t xml:space="preserve">the timing case </w:t>
      </w:r>
      <w:r w:rsidR="00071E5D" w:rsidRPr="0036208A">
        <w:rPr>
          <w:rFonts w:cs="Arial"/>
          <w:sz w:val="20"/>
          <w:szCs w:val="20"/>
        </w:rPr>
        <w:t>switches</w:t>
      </w:r>
      <w:r w:rsidR="008E72E9" w:rsidRPr="0036208A">
        <w:rPr>
          <w:rFonts w:cs="Arial"/>
          <w:sz w:val="20"/>
          <w:szCs w:val="20"/>
        </w:rPr>
        <w:t>.</w:t>
      </w:r>
      <w:r w:rsidR="00FE4A48" w:rsidRPr="0036208A">
        <w:rPr>
          <w:rFonts w:cs="Arial"/>
          <w:sz w:val="20"/>
          <w:szCs w:val="20"/>
        </w:rPr>
        <w:t xml:space="preserve"> The reason is that </w:t>
      </w:r>
      <w:r w:rsidR="00D24D9E" w:rsidRPr="0036208A">
        <w:rPr>
          <w:rFonts w:cs="Arial"/>
          <w:sz w:val="20"/>
          <w:szCs w:val="20"/>
        </w:rPr>
        <w:t>guard symbols</w:t>
      </w:r>
      <w:r w:rsidR="00ED1DB0" w:rsidRPr="0036208A">
        <w:rPr>
          <w:rFonts w:cs="Arial"/>
          <w:sz w:val="20"/>
          <w:szCs w:val="20"/>
        </w:rPr>
        <w:t xml:space="preserve"> </w:t>
      </w:r>
      <w:r w:rsidR="00EE6091" w:rsidRPr="0036208A">
        <w:rPr>
          <w:rFonts w:cs="Arial"/>
          <w:sz w:val="20"/>
          <w:szCs w:val="20"/>
        </w:rPr>
        <w:t xml:space="preserve">for each timing case </w:t>
      </w:r>
      <w:r w:rsidR="002B5887" w:rsidRPr="0036208A">
        <w:rPr>
          <w:rFonts w:cs="Arial"/>
          <w:sz w:val="20"/>
          <w:szCs w:val="20"/>
        </w:rPr>
        <w:t xml:space="preserve">is </w:t>
      </w:r>
      <w:r w:rsidR="00862E93" w:rsidRPr="0036208A">
        <w:rPr>
          <w:rFonts w:cs="Arial"/>
          <w:sz w:val="20"/>
          <w:szCs w:val="20"/>
        </w:rPr>
        <w:t xml:space="preserve">predictable </w:t>
      </w:r>
      <w:r w:rsidR="00C00D37" w:rsidRPr="0036208A">
        <w:rPr>
          <w:rFonts w:cs="Arial"/>
          <w:sz w:val="20"/>
          <w:szCs w:val="20"/>
        </w:rPr>
        <w:t xml:space="preserve">and </w:t>
      </w:r>
      <w:r w:rsidR="00170166" w:rsidRPr="0036208A">
        <w:rPr>
          <w:rFonts w:cs="Arial"/>
          <w:sz w:val="20"/>
          <w:szCs w:val="20"/>
        </w:rPr>
        <w:t>relatively static.</w:t>
      </w:r>
      <w:r w:rsidR="000C136A" w:rsidRPr="0036208A">
        <w:rPr>
          <w:rFonts w:cs="Arial"/>
          <w:sz w:val="20"/>
          <w:szCs w:val="20"/>
        </w:rPr>
        <w:t xml:space="preserve"> A</w:t>
      </w:r>
      <w:r w:rsidR="00A51830" w:rsidRPr="0036208A">
        <w:rPr>
          <w:rFonts w:cs="Arial"/>
          <w:sz w:val="20"/>
          <w:szCs w:val="20"/>
        </w:rPr>
        <w:t>n IAB-node can instead</w:t>
      </w:r>
      <w:r w:rsidR="000C136A" w:rsidRPr="0036208A">
        <w:rPr>
          <w:rFonts w:cs="Arial"/>
          <w:sz w:val="20"/>
          <w:szCs w:val="20"/>
        </w:rPr>
        <w:t xml:space="preserve"> send groups of Desired Guard Symbols to a parent node</w:t>
      </w:r>
      <w:r w:rsidR="00FD0897" w:rsidRPr="0036208A">
        <w:rPr>
          <w:rFonts w:cs="Arial"/>
          <w:sz w:val="20"/>
          <w:szCs w:val="20"/>
        </w:rPr>
        <w:t xml:space="preserve"> regarding different </w:t>
      </w:r>
      <w:r w:rsidR="00357E65" w:rsidRPr="0036208A">
        <w:rPr>
          <w:rFonts w:cs="Arial"/>
          <w:sz w:val="20"/>
          <w:szCs w:val="20"/>
        </w:rPr>
        <w:t>timing</w:t>
      </w:r>
      <w:r w:rsidR="00510DE2" w:rsidRPr="0036208A">
        <w:rPr>
          <w:rFonts w:cs="Arial"/>
          <w:sz w:val="20"/>
          <w:szCs w:val="20"/>
        </w:rPr>
        <w:t>-</w:t>
      </w:r>
      <w:r w:rsidR="00357E65" w:rsidRPr="0036208A">
        <w:rPr>
          <w:rFonts w:cs="Arial"/>
          <w:sz w:val="20"/>
          <w:szCs w:val="20"/>
        </w:rPr>
        <w:t xml:space="preserve">case switching as listed above. Correspondingly, the parent node sends groups of Provided Guard Symbols to the IAB-node. </w:t>
      </w:r>
      <w:r w:rsidR="008714F8" w:rsidRPr="0036208A">
        <w:rPr>
          <w:rFonts w:cs="Arial"/>
          <w:sz w:val="20"/>
          <w:szCs w:val="20"/>
        </w:rPr>
        <w:t>When the IAB-node changes its operation mode and thereby uses a different timing-alignment case</w:t>
      </w:r>
      <w:r w:rsidR="007C6A47" w:rsidRPr="0036208A">
        <w:rPr>
          <w:rFonts w:cs="Arial"/>
          <w:sz w:val="20"/>
          <w:szCs w:val="20"/>
        </w:rPr>
        <w:t xml:space="preserve">, </w:t>
      </w:r>
      <w:r w:rsidR="00745347" w:rsidRPr="0036208A">
        <w:rPr>
          <w:rFonts w:cs="Arial"/>
          <w:sz w:val="20"/>
          <w:szCs w:val="20"/>
        </w:rPr>
        <w:t xml:space="preserve">both IAB-node and parent node can </w:t>
      </w:r>
      <w:r w:rsidR="00D72771" w:rsidRPr="0036208A">
        <w:rPr>
          <w:rFonts w:cs="Arial"/>
          <w:sz w:val="20"/>
          <w:szCs w:val="20"/>
        </w:rPr>
        <w:t>switch fast without extra signaling exchange</w:t>
      </w:r>
      <w:r w:rsidR="00745347" w:rsidRPr="0036208A">
        <w:rPr>
          <w:rFonts w:cs="Arial"/>
          <w:sz w:val="20"/>
          <w:szCs w:val="20"/>
        </w:rPr>
        <w:t xml:space="preserve"> to use the corresponding group of guard symbols</w:t>
      </w:r>
      <w:r w:rsidR="00D72771" w:rsidRPr="0036208A">
        <w:rPr>
          <w:rFonts w:cs="Arial"/>
          <w:sz w:val="20"/>
          <w:szCs w:val="20"/>
        </w:rPr>
        <w:t xml:space="preserve">. </w:t>
      </w:r>
      <w:r w:rsidR="001D3BEE" w:rsidRPr="0036208A">
        <w:rPr>
          <w:rFonts w:cs="Arial"/>
          <w:sz w:val="20"/>
          <w:szCs w:val="20"/>
        </w:rPr>
        <w:t xml:space="preserve">Different groups of </w:t>
      </w:r>
      <w:r w:rsidR="003F6D9B" w:rsidRPr="0036208A">
        <w:rPr>
          <w:rFonts w:cs="Arial"/>
          <w:sz w:val="20"/>
          <w:szCs w:val="20"/>
        </w:rPr>
        <w:t xml:space="preserve">guard symbols can be composed as in </w:t>
      </w:r>
      <w:r w:rsidR="003F6D9B" w:rsidRPr="0036208A">
        <w:rPr>
          <w:rFonts w:cs="Arial"/>
          <w:sz w:val="20"/>
          <w:szCs w:val="20"/>
        </w:rPr>
        <w:fldChar w:fldCharType="begin"/>
      </w:r>
      <w:r w:rsidR="003F6D9B" w:rsidRPr="0036208A">
        <w:rPr>
          <w:rFonts w:cs="Arial"/>
          <w:sz w:val="20"/>
          <w:szCs w:val="20"/>
        </w:rPr>
        <w:instrText xml:space="preserve"> REF _Ref58939286 \h </w:instrText>
      </w:r>
      <w:r w:rsidR="004B3766" w:rsidRPr="0036208A">
        <w:rPr>
          <w:rFonts w:cs="Arial"/>
          <w:sz w:val="20"/>
          <w:szCs w:val="20"/>
        </w:rPr>
        <w:instrText xml:space="preserve"> \* MERGEFORMAT </w:instrText>
      </w:r>
      <w:r w:rsidR="003F6D9B" w:rsidRPr="0036208A">
        <w:rPr>
          <w:rFonts w:cs="Arial"/>
          <w:sz w:val="20"/>
          <w:szCs w:val="20"/>
        </w:rPr>
      </w:r>
      <w:r w:rsidR="003F6D9B" w:rsidRPr="0036208A">
        <w:rPr>
          <w:rFonts w:cs="Arial"/>
          <w:sz w:val="20"/>
          <w:szCs w:val="20"/>
        </w:rPr>
        <w:fldChar w:fldCharType="separate"/>
      </w:r>
      <w:r w:rsidR="009C0672" w:rsidRPr="009C0672">
        <w:rPr>
          <w:rFonts w:cs="Arial"/>
          <w:sz w:val="20"/>
          <w:szCs w:val="20"/>
        </w:rPr>
        <w:t xml:space="preserve">Figure </w:t>
      </w:r>
      <w:r w:rsidR="009C0672" w:rsidRPr="009C0672">
        <w:rPr>
          <w:rFonts w:cs="Arial"/>
          <w:noProof/>
          <w:sz w:val="20"/>
          <w:szCs w:val="20"/>
        </w:rPr>
        <w:t>2</w:t>
      </w:r>
      <w:r w:rsidR="003F6D9B" w:rsidRPr="0036208A">
        <w:rPr>
          <w:rFonts w:cs="Arial"/>
          <w:sz w:val="20"/>
          <w:szCs w:val="20"/>
        </w:rPr>
        <w:fldChar w:fldCharType="end"/>
      </w:r>
      <w:r w:rsidR="000223C1" w:rsidRPr="0036208A">
        <w:rPr>
          <w:rFonts w:cs="Arial"/>
          <w:sz w:val="20"/>
          <w:szCs w:val="20"/>
        </w:rPr>
        <w:t>.</w:t>
      </w:r>
    </w:p>
    <w:p w14:paraId="22AC2D0E" w14:textId="540D3E56" w:rsidR="00AA2040" w:rsidRPr="0036208A" w:rsidRDefault="00712C00" w:rsidP="002A37D4">
      <w:pPr>
        <w:pStyle w:val="BodyText"/>
        <w:keepLines/>
        <w:tabs>
          <w:tab w:val="left" w:pos="2552"/>
          <w:tab w:val="left" w:pos="3856"/>
          <w:tab w:val="left" w:pos="5216"/>
          <w:tab w:val="left" w:pos="6464"/>
          <w:tab w:val="left" w:pos="7768"/>
          <w:tab w:val="left" w:pos="9072"/>
          <w:tab w:val="left" w:pos="9639"/>
        </w:tabs>
        <w:spacing w:before="240" w:after="0"/>
        <w:jc w:val="center"/>
      </w:pPr>
      <w:r w:rsidRPr="0036208A">
        <w:rPr>
          <w:noProof/>
        </w:rPr>
        <w:lastRenderedPageBreak/>
        <w:drawing>
          <wp:inline distT="0" distB="0" distL="0" distR="0" wp14:anchorId="5BF60FEC" wp14:editId="4C334A59">
            <wp:extent cx="4712400" cy="48087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2400" cy="4808756"/>
                    </a:xfrm>
                    <a:prstGeom prst="rect">
                      <a:avLst/>
                    </a:prstGeom>
                    <a:noFill/>
                  </pic:spPr>
                </pic:pic>
              </a:graphicData>
            </a:graphic>
          </wp:inline>
        </w:drawing>
      </w:r>
    </w:p>
    <w:p w14:paraId="55723CE3" w14:textId="310B81A1" w:rsidR="003F6D9B" w:rsidRPr="0036208A" w:rsidRDefault="003F6D9B" w:rsidP="002A37D4">
      <w:pPr>
        <w:pStyle w:val="Caption"/>
        <w:jc w:val="center"/>
      </w:pPr>
      <w:bookmarkStart w:id="137" w:name="_Ref58939286"/>
      <w:r w:rsidRPr="0036208A">
        <w:t xml:space="preserve">Figure </w:t>
      </w:r>
      <w:r w:rsidR="00390C5C" w:rsidRPr="0036208A">
        <w:fldChar w:fldCharType="begin"/>
      </w:r>
      <w:r w:rsidR="00390C5C" w:rsidRPr="0036208A">
        <w:instrText xml:space="preserve"> SEQ Figure \* ARABIC </w:instrText>
      </w:r>
      <w:r w:rsidR="00390C5C" w:rsidRPr="0036208A">
        <w:fldChar w:fldCharType="separate"/>
      </w:r>
      <w:r w:rsidR="009C0672">
        <w:rPr>
          <w:noProof/>
        </w:rPr>
        <w:t>2</w:t>
      </w:r>
      <w:r w:rsidR="00390C5C" w:rsidRPr="0036208A">
        <w:rPr>
          <w:noProof/>
        </w:rPr>
        <w:fldChar w:fldCharType="end"/>
      </w:r>
      <w:bookmarkEnd w:id="137"/>
      <w:r w:rsidRPr="0036208A">
        <w:t>: Potential groups of Desired/Provided Guard Symbols for Rel-17 IAB enhancement.</w:t>
      </w:r>
    </w:p>
    <w:p w14:paraId="6A58371E" w14:textId="77777777" w:rsidR="000B44D3" w:rsidRPr="0036208A" w:rsidRDefault="000B44D3" w:rsidP="00496476">
      <w:pPr>
        <w:jc w:val="both"/>
        <w:rPr>
          <w:lang w:eastAsia="en-GB"/>
        </w:rPr>
      </w:pPr>
    </w:p>
    <w:p w14:paraId="4CBB533A" w14:textId="0CD54A40" w:rsidR="003F6D9B" w:rsidRPr="0036208A" w:rsidRDefault="00B234AD" w:rsidP="00496476">
      <w:pPr>
        <w:pStyle w:val="Proposal"/>
        <w:rPr>
          <w:rFonts w:cs="Arial"/>
          <w:sz w:val="20"/>
          <w:szCs w:val="20"/>
          <w:lang w:eastAsia="en-GB"/>
        </w:rPr>
      </w:pPr>
      <w:bookmarkStart w:id="138" w:name="_Toc61903487"/>
      <w:r w:rsidRPr="0036208A">
        <w:rPr>
          <w:rFonts w:cs="Arial"/>
          <w:sz w:val="20"/>
          <w:szCs w:val="20"/>
        </w:rPr>
        <w:t xml:space="preserve">Desired/Provided Guard Symbols are </w:t>
      </w:r>
      <w:r w:rsidR="008F1E1C">
        <w:rPr>
          <w:rFonts w:cs="Arial"/>
          <w:sz w:val="20"/>
          <w:szCs w:val="20"/>
        </w:rPr>
        <w:t>signaled</w:t>
      </w:r>
      <w:r w:rsidR="00C26DB0" w:rsidRPr="0036208A">
        <w:rPr>
          <w:rFonts w:cs="Arial"/>
          <w:sz w:val="20"/>
          <w:szCs w:val="20"/>
        </w:rPr>
        <w:t xml:space="preserve"> in multiple groups</w:t>
      </w:r>
      <w:r w:rsidR="00525B09" w:rsidRPr="0036208A">
        <w:rPr>
          <w:rFonts w:cs="Arial"/>
          <w:sz w:val="20"/>
          <w:szCs w:val="20"/>
        </w:rPr>
        <w:t xml:space="preserve"> </w:t>
      </w:r>
      <w:r w:rsidR="008F1E1C">
        <w:rPr>
          <w:rFonts w:cs="Arial"/>
          <w:sz w:val="20"/>
          <w:szCs w:val="20"/>
        </w:rPr>
        <w:t xml:space="preserve">that </w:t>
      </w:r>
      <w:r w:rsidR="00525B09" w:rsidRPr="0036208A">
        <w:rPr>
          <w:rFonts w:cs="Arial"/>
          <w:sz w:val="20"/>
          <w:szCs w:val="20"/>
          <w:lang w:eastAsia="en-GB"/>
        </w:rPr>
        <w:t>cover</w:t>
      </w:r>
      <w:r w:rsidR="008F1E1C">
        <w:rPr>
          <w:rFonts w:cs="Arial"/>
          <w:sz w:val="20"/>
          <w:szCs w:val="20"/>
          <w:lang w:eastAsia="en-GB"/>
        </w:rPr>
        <w:t>s all</w:t>
      </w:r>
      <w:r w:rsidR="00525B09" w:rsidRPr="0036208A">
        <w:rPr>
          <w:rFonts w:cs="Arial"/>
          <w:sz w:val="20"/>
          <w:szCs w:val="20"/>
          <w:lang w:eastAsia="en-GB"/>
        </w:rPr>
        <w:t xml:space="preserve"> switching </w:t>
      </w:r>
      <w:r w:rsidR="008F1E1C">
        <w:rPr>
          <w:rFonts w:cs="Arial"/>
          <w:sz w:val="20"/>
          <w:szCs w:val="20"/>
          <w:lang w:eastAsia="en-GB"/>
        </w:rPr>
        <w:t xml:space="preserve">combinations </w:t>
      </w:r>
      <w:r w:rsidR="00525B09" w:rsidRPr="0036208A">
        <w:rPr>
          <w:rFonts w:cs="Arial"/>
          <w:sz w:val="20"/>
          <w:szCs w:val="20"/>
          <w:lang w:eastAsia="en-GB"/>
        </w:rPr>
        <w:t xml:space="preserve">among </w:t>
      </w:r>
      <w:r w:rsidR="00525B09" w:rsidRPr="0036208A">
        <w:rPr>
          <w:rFonts w:cs="Arial"/>
          <w:sz w:val="20"/>
          <w:szCs w:val="20"/>
        </w:rPr>
        <w:t>Case #1, Case #6 and Case #7 timing</w:t>
      </w:r>
      <w:r w:rsidR="00865079" w:rsidRPr="0036208A">
        <w:rPr>
          <w:rFonts w:cs="Arial"/>
          <w:sz w:val="20"/>
          <w:szCs w:val="20"/>
        </w:rPr>
        <w:t xml:space="preserve"> alignment</w:t>
      </w:r>
      <w:r w:rsidR="00FB3C5B" w:rsidRPr="0036208A">
        <w:rPr>
          <w:rFonts w:cs="Arial"/>
          <w:sz w:val="20"/>
          <w:szCs w:val="20"/>
        </w:rPr>
        <w:t>.</w:t>
      </w:r>
      <w:bookmarkEnd w:id="138"/>
    </w:p>
    <w:p w14:paraId="518CD4E3" w14:textId="7CA1BAD7" w:rsidR="004000E8" w:rsidRPr="0036208A" w:rsidRDefault="004000E8" w:rsidP="00496476">
      <w:pPr>
        <w:pStyle w:val="Heading1"/>
        <w:jc w:val="both"/>
        <w:rPr>
          <w:lang w:val="en-US"/>
        </w:rPr>
      </w:pPr>
      <w:bookmarkStart w:id="139" w:name="_Ref178064866"/>
      <w:r w:rsidRPr="0036208A">
        <w:rPr>
          <w:lang w:val="en-US"/>
        </w:rPr>
        <w:t>D</w:t>
      </w:r>
      <w:bookmarkEnd w:id="139"/>
      <w:r w:rsidR="007A559D" w:rsidRPr="0036208A">
        <w:rPr>
          <w:lang w:val="en-US"/>
        </w:rPr>
        <w:t xml:space="preserve">ual </w:t>
      </w:r>
      <w:r w:rsidR="0026569D" w:rsidRPr="0036208A">
        <w:rPr>
          <w:lang w:val="en-US"/>
        </w:rPr>
        <w:t>Connectivity</w:t>
      </w:r>
    </w:p>
    <w:p w14:paraId="40FDE18F" w14:textId="26F6FC42" w:rsidR="000C46E8" w:rsidRPr="0036208A" w:rsidRDefault="000C46E8" w:rsidP="00496476">
      <w:pPr>
        <w:jc w:val="both"/>
        <w:rPr>
          <w:rFonts w:ascii="Arial" w:hAnsi="Arial" w:cs="Arial"/>
          <w:sz w:val="20"/>
          <w:szCs w:val="20"/>
        </w:rPr>
      </w:pPr>
      <w:r w:rsidRPr="0036208A">
        <w:rPr>
          <w:rFonts w:ascii="Arial" w:hAnsi="Arial" w:cs="Arial"/>
          <w:sz w:val="20"/>
          <w:szCs w:val="20"/>
        </w:rPr>
        <w:t xml:space="preserve">In RAN1 #103e, the following objectives of </w:t>
      </w:r>
      <w:r w:rsidR="00FC3BA9">
        <w:rPr>
          <w:rFonts w:ascii="Arial" w:hAnsi="Arial" w:cs="Arial"/>
          <w:sz w:val="20"/>
          <w:szCs w:val="20"/>
        </w:rPr>
        <w:t xml:space="preserve">the </w:t>
      </w:r>
      <w:r w:rsidRPr="0036208A">
        <w:rPr>
          <w:rFonts w:ascii="Arial" w:hAnsi="Arial" w:cs="Arial"/>
          <w:sz w:val="20"/>
          <w:szCs w:val="20"/>
        </w:rPr>
        <w:t xml:space="preserve">IAB work item regarding </w:t>
      </w:r>
      <w:r w:rsidR="00E32D2E" w:rsidRPr="0036208A">
        <w:rPr>
          <w:rFonts w:ascii="Arial" w:hAnsi="Arial" w:cs="Arial"/>
          <w:sz w:val="20"/>
          <w:szCs w:val="20"/>
        </w:rPr>
        <w:t>dual</w:t>
      </w:r>
      <w:r w:rsidR="00A01EE1" w:rsidRPr="0036208A">
        <w:rPr>
          <w:rFonts w:ascii="Arial" w:hAnsi="Arial" w:cs="Arial"/>
          <w:sz w:val="20"/>
          <w:szCs w:val="20"/>
        </w:rPr>
        <w:t xml:space="preserve"> </w:t>
      </w:r>
      <w:r w:rsidR="00E32D2E" w:rsidRPr="0036208A">
        <w:rPr>
          <w:rFonts w:ascii="Arial" w:hAnsi="Arial" w:cs="Arial"/>
          <w:sz w:val="20"/>
          <w:szCs w:val="20"/>
        </w:rPr>
        <w:t>connectivity</w:t>
      </w:r>
      <w:r w:rsidR="006D3FBC" w:rsidRPr="0036208A">
        <w:rPr>
          <w:rFonts w:ascii="Arial" w:hAnsi="Arial" w:cs="Arial"/>
          <w:sz w:val="20"/>
          <w:szCs w:val="20"/>
        </w:rPr>
        <w:t xml:space="preserve"> </w:t>
      </w:r>
      <w:r w:rsidRPr="0036208A">
        <w:rPr>
          <w:rFonts w:ascii="Arial" w:hAnsi="Arial" w:cs="Arial"/>
          <w:sz w:val="20"/>
          <w:szCs w:val="20"/>
        </w:rPr>
        <w:t>were agreed</w:t>
      </w:r>
      <w:r w:rsidR="004F538E" w:rsidRPr="0036208A">
        <w:rPr>
          <w:rFonts w:ascii="Arial" w:hAnsi="Arial" w:cs="Arial"/>
          <w:sz w:val="20"/>
          <w:szCs w:val="20"/>
        </w:rPr>
        <w:t xml:space="preserve"> </w:t>
      </w:r>
      <w:r w:rsidR="004F538E" w:rsidRPr="0036208A">
        <w:rPr>
          <w:rFonts w:ascii="Arial" w:hAnsi="Arial" w:cs="Arial"/>
          <w:sz w:val="20"/>
          <w:szCs w:val="20"/>
        </w:rPr>
        <w:fldChar w:fldCharType="begin"/>
      </w:r>
      <w:r w:rsidR="004F538E" w:rsidRPr="0036208A">
        <w:rPr>
          <w:rFonts w:ascii="Arial" w:hAnsi="Arial" w:cs="Arial"/>
          <w:sz w:val="20"/>
          <w:szCs w:val="20"/>
        </w:rPr>
        <w:instrText xml:space="preserve"> REF _Ref476919366 \r \h </w:instrText>
      </w:r>
      <w:r w:rsidR="006E1EF5" w:rsidRPr="0036208A">
        <w:rPr>
          <w:rFonts w:ascii="Arial" w:hAnsi="Arial" w:cs="Arial"/>
          <w:sz w:val="20"/>
          <w:szCs w:val="20"/>
        </w:rPr>
        <w:instrText xml:space="preserve"> \* MERGEFORMAT </w:instrText>
      </w:r>
      <w:r w:rsidR="004F538E" w:rsidRPr="0036208A">
        <w:rPr>
          <w:rFonts w:ascii="Arial" w:hAnsi="Arial" w:cs="Arial"/>
          <w:sz w:val="20"/>
          <w:szCs w:val="20"/>
        </w:rPr>
      </w:r>
      <w:r w:rsidR="004F538E" w:rsidRPr="0036208A">
        <w:rPr>
          <w:rFonts w:ascii="Arial" w:hAnsi="Arial" w:cs="Arial"/>
          <w:sz w:val="20"/>
          <w:szCs w:val="20"/>
        </w:rPr>
        <w:fldChar w:fldCharType="separate"/>
      </w:r>
      <w:r w:rsidR="009C0672">
        <w:rPr>
          <w:rFonts w:ascii="Arial" w:hAnsi="Arial" w:cs="Arial"/>
          <w:sz w:val="20"/>
          <w:szCs w:val="20"/>
        </w:rPr>
        <w:t>[4]</w:t>
      </w:r>
      <w:r w:rsidR="004F538E" w:rsidRPr="0036208A">
        <w:rPr>
          <w:rFonts w:ascii="Arial" w:hAnsi="Arial" w:cs="Arial"/>
          <w:sz w:val="20"/>
          <w:szCs w:val="20"/>
        </w:rPr>
        <w:fldChar w:fldCharType="end"/>
      </w:r>
      <w:r w:rsidRPr="0036208A">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0C46E8" w:rsidRPr="0036208A" w14:paraId="5177563C" w14:textId="77777777" w:rsidTr="00A010C0">
        <w:tc>
          <w:tcPr>
            <w:tcW w:w="9629" w:type="dxa"/>
          </w:tcPr>
          <w:p w14:paraId="0CE642BC" w14:textId="77777777" w:rsidR="000C46E8" w:rsidRPr="0036208A" w:rsidRDefault="000C46E8" w:rsidP="00496476">
            <w:pPr>
              <w:jc w:val="both"/>
              <w:rPr>
                <w:rFonts w:ascii="Arial" w:hAnsi="Arial" w:cs="Arial"/>
                <w:b/>
                <w:sz w:val="20"/>
                <w:szCs w:val="20"/>
                <w:highlight w:val="green"/>
              </w:rPr>
            </w:pPr>
            <w:r w:rsidRPr="0036208A">
              <w:rPr>
                <w:rFonts w:ascii="Arial" w:hAnsi="Arial" w:cs="Arial"/>
                <w:b/>
                <w:sz w:val="20"/>
                <w:szCs w:val="20"/>
                <w:highlight w:val="green"/>
              </w:rPr>
              <w:t>Agreement</w:t>
            </w:r>
          </w:p>
          <w:p w14:paraId="789ADDE4" w14:textId="77777777" w:rsidR="000C46E8" w:rsidRPr="0036208A" w:rsidRDefault="000C46E8" w:rsidP="00496476">
            <w:pPr>
              <w:jc w:val="both"/>
              <w:rPr>
                <w:rFonts w:ascii="Arial" w:eastAsia="Batang" w:hAnsi="Arial" w:cs="Arial"/>
                <w:sz w:val="20"/>
                <w:szCs w:val="20"/>
                <w:lang w:eastAsia="x-none"/>
              </w:rPr>
            </w:pPr>
            <w:r w:rsidRPr="0036208A">
              <w:rPr>
                <w:rFonts w:ascii="Arial" w:hAnsi="Arial" w:cs="Arial"/>
                <w:sz w:val="20"/>
                <w:szCs w:val="20"/>
                <w:lang w:eastAsia="x-none"/>
              </w:rPr>
              <w:t xml:space="preserve">From a RAN1 perspective, at least intra-donor multi-parent operation is supported in Rel-17 </w:t>
            </w:r>
          </w:p>
          <w:p w14:paraId="285BFB90" w14:textId="77777777" w:rsidR="000C46E8" w:rsidRPr="0036208A" w:rsidRDefault="000C46E8" w:rsidP="00496476">
            <w:pPr>
              <w:pStyle w:val="ListParagraph"/>
              <w:numPr>
                <w:ilvl w:val="0"/>
                <w:numId w:val="26"/>
              </w:numPr>
              <w:contextualSpacing/>
              <w:jc w:val="both"/>
              <w:rPr>
                <w:rFonts w:ascii="Arial" w:hAnsi="Arial" w:cs="Arial"/>
                <w:color w:val="000000"/>
                <w:sz w:val="20"/>
                <w:szCs w:val="20"/>
                <w:lang w:val="en-US"/>
              </w:rPr>
            </w:pPr>
            <w:r w:rsidRPr="0036208A">
              <w:rPr>
                <w:rFonts w:ascii="Arial" w:hAnsi="Arial" w:cs="Arial"/>
                <w:color w:val="000000"/>
                <w:sz w:val="20"/>
                <w:szCs w:val="20"/>
                <w:lang w:val="en-US"/>
              </w:rPr>
              <w:t>FFS: Inter-donor operation pending additional input from RAN2/RAN3</w:t>
            </w:r>
          </w:p>
          <w:p w14:paraId="6E0A67CA" w14:textId="77777777" w:rsidR="000C46E8" w:rsidRPr="0036208A" w:rsidRDefault="000C46E8" w:rsidP="00496476">
            <w:pPr>
              <w:contextualSpacing/>
              <w:jc w:val="both"/>
              <w:rPr>
                <w:rFonts w:ascii="Arial" w:hAnsi="Arial" w:cs="Arial"/>
                <w:color w:val="000000"/>
                <w:sz w:val="20"/>
                <w:szCs w:val="20"/>
              </w:rPr>
            </w:pPr>
          </w:p>
          <w:p w14:paraId="672D105B" w14:textId="77777777" w:rsidR="000C46E8" w:rsidRPr="0036208A" w:rsidRDefault="000C46E8" w:rsidP="00496476">
            <w:pPr>
              <w:jc w:val="both"/>
              <w:rPr>
                <w:rFonts w:ascii="Arial" w:hAnsi="Arial" w:cs="Arial"/>
                <w:b/>
                <w:sz w:val="20"/>
                <w:szCs w:val="20"/>
                <w:highlight w:val="green"/>
              </w:rPr>
            </w:pPr>
            <w:r w:rsidRPr="0036208A">
              <w:rPr>
                <w:rFonts w:ascii="Arial" w:hAnsi="Arial" w:cs="Arial"/>
                <w:b/>
                <w:sz w:val="20"/>
                <w:szCs w:val="20"/>
                <w:highlight w:val="green"/>
              </w:rPr>
              <w:t>Agreement</w:t>
            </w:r>
          </w:p>
          <w:p w14:paraId="46D96938" w14:textId="77777777" w:rsidR="000C46E8" w:rsidRPr="0036208A" w:rsidRDefault="000C46E8" w:rsidP="00496476">
            <w:pPr>
              <w:jc w:val="both"/>
              <w:rPr>
                <w:rFonts w:ascii="Arial" w:eastAsia="Batang" w:hAnsi="Arial" w:cs="Arial"/>
                <w:sz w:val="20"/>
                <w:szCs w:val="20"/>
                <w:lang w:eastAsia="x-none"/>
              </w:rPr>
            </w:pPr>
            <w:r w:rsidRPr="0036208A">
              <w:rPr>
                <w:rFonts w:ascii="Arial" w:hAnsi="Arial" w:cs="Arial"/>
                <w:sz w:val="20"/>
                <w:szCs w:val="20"/>
                <w:lang w:eastAsia="x-none"/>
              </w:rPr>
              <w:t>The explicit indication of soft resources by DCI Format 2_5 is supported for multi-parent scenarios in Rel-17.</w:t>
            </w:r>
          </w:p>
          <w:p w14:paraId="1DA67458" w14:textId="77777777" w:rsidR="000C46E8" w:rsidRPr="0036208A" w:rsidRDefault="000C46E8" w:rsidP="00496476">
            <w:pPr>
              <w:pStyle w:val="ListParagraph"/>
              <w:numPr>
                <w:ilvl w:val="0"/>
                <w:numId w:val="26"/>
              </w:numPr>
              <w:contextualSpacing/>
              <w:jc w:val="both"/>
              <w:rPr>
                <w:rFonts w:ascii="Arial" w:hAnsi="Arial" w:cs="Arial"/>
                <w:color w:val="000000"/>
                <w:sz w:val="20"/>
                <w:szCs w:val="20"/>
                <w:lang w:val="en-US"/>
              </w:rPr>
            </w:pPr>
            <w:r w:rsidRPr="0036208A">
              <w:rPr>
                <w:rFonts w:ascii="Arial" w:hAnsi="Arial" w:cs="Arial"/>
                <w:color w:val="000000"/>
                <w:sz w:val="20"/>
                <w:szCs w:val="20"/>
                <w:lang w:val="en-US"/>
              </w:rPr>
              <w:t>FFS: Whether additional enhancements over the Rel-16 solution are needed</w:t>
            </w:r>
          </w:p>
          <w:p w14:paraId="1A53D892" w14:textId="77777777" w:rsidR="000C46E8" w:rsidRPr="0036208A" w:rsidRDefault="000C46E8" w:rsidP="00496476">
            <w:pPr>
              <w:contextualSpacing/>
              <w:jc w:val="both"/>
              <w:rPr>
                <w:rFonts w:ascii="Arial" w:hAnsi="Arial" w:cs="Arial"/>
                <w:color w:val="000000"/>
                <w:sz w:val="20"/>
                <w:szCs w:val="20"/>
              </w:rPr>
            </w:pPr>
          </w:p>
          <w:p w14:paraId="7E9493AA" w14:textId="77777777" w:rsidR="000C46E8" w:rsidRPr="0036208A" w:rsidRDefault="000C46E8" w:rsidP="00496476">
            <w:pPr>
              <w:jc w:val="both"/>
              <w:rPr>
                <w:rFonts w:ascii="Arial" w:hAnsi="Arial" w:cs="Arial"/>
                <w:b/>
                <w:sz w:val="20"/>
                <w:szCs w:val="20"/>
                <w:lang w:eastAsia="x-none"/>
              </w:rPr>
            </w:pPr>
            <w:r w:rsidRPr="0036208A">
              <w:rPr>
                <w:rFonts w:ascii="Arial" w:hAnsi="Arial" w:cs="Arial"/>
                <w:b/>
                <w:sz w:val="20"/>
                <w:szCs w:val="20"/>
                <w:highlight w:val="green"/>
                <w:lang w:eastAsia="x-none"/>
              </w:rPr>
              <w:t>Agreement</w:t>
            </w:r>
          </w:p>
          <w:p w14:paraId="24F1E8E8" w14:textId="77777777" w:rsidR="000C46E8" w:rsidRPr="0036208A" w:rsidRDefault="000C46E8" w:rsidP="00496476">
            <w:pPr>
              <w:jc w:val="both"/>
              <w:rPr>
                <w:rFonts w:ascii="Arial" w:hAnsi="Arial" w:cs="Arial"/>
                <w:sz w:val="20"/>
                <w:szCs w:val="20"/>
                <w:lang w:eastAsia="x-none"/>
              </w:rPr>
            </w:pPr>
            <w:r w:rsidRPr="0036208A">
              <w:rPr>
                <w:rFonts w:ascii="Arial" w:hAnsi="Arial" w:cs="Arial"/>
                <w:sz w:val="20"/>
                <w:szCs w:val="20"/>
                <w:lang w:eastAsia="x-none"/>
              </w:rPr>
              <w:lastRenderedPageBreak/>
              <w:t>From a RAN1 perspective, resource multiplexing and coordination is supported for the following DC scenarios in Rel-17.</w:t>
            </w:r>
          </w:p>
          <w:p w14:paraId="6F80C167" w14:textId="77777777" w:rsidR="000C46E8" w:rsidRPr="0036208A" w:rsidRDefault="000C46E8" w:rsidP="00496476">
            <w:pPr>
              <w:pStyle w:val="ListParagraph"/>
              <w:numPr>
                <w:ilvl w:val="0"/>
                <w:numId w:val="26"/>
              </w:numPr>
              <w:contextualSpacing/>
              <w:jc w:val="both"/>
              <w:rPr>
                <w:rFonts w:ascii="Arial" w:hAnsi="Arial" w:cs="Arial"/>
                <w:color w:val="000000"/>
                <w:sz w:val="20"/>
                <w:szCs w:val="20"/>
                <w:lang w:val="en-US"/>
              </w:rPr>
            </w:pPr>
            <w:r w:rsidRPr="0036208A">
              <w:rPr>
                <w:rFonts w:ascii="Arial" w:hAnsi="Arial" w:cs="Arial"/>
                <w:color w:val="000000"/>
                <w:sz w:val="20"/>
                <w:szCs w:val="20"/>
                <w:lang w:val="en-US"/>
              </w:rPr>
              <w:t xml:space="preserve">Inter-carrier, inter-band </w:t>
            </w:r>
          </w:p>
          <w:p w14:paraId="3988844E" w14:textId="77777777" w:rsidR="000C46E8" w:rsidRPr="0036208A" w:rsidRDefault="000C46E8" w:rsidP="00496476">
            <w:pPr>
              <w:pStyle w:val="ListParagraph"/>
              <w:numPr>
                <w:ilvl w:val="0"/>
                <w:numId w:val="26"/>
              </w:numPr>
              <w:contextualSpacing/>
              <w:jc w:val="both"/>
              <w:rPr>
                <w:rFonts w:ascii="Arial" w:hAnsi="Arial" w:cs="Arial"/>
                <w:color w:val="000000"/>
                <w:sz w:val="20"/>
                <w:szCs w:val="20"/>
                <w:lang w:val="en-US"/>
              </w:rPr>
            </w:pPr>
            <w:r w:rsidRPr="0036208A">
              <w:rPr>
                <w:rFonts w:ascii="Arial" w:hAnsi="Arial" w:cs="Arial"/>
                <w:color w:val="000000"/>
                <w:sz w:val="20"/>
                <w:szCs w:val="20"/>
                <w:lang w:val="en-US"/>
              </w:rPr>
              <w:t xml:space="preserve">Inter-carrier, intra-band is additionally supported at least for FR2 </w:t>
            </w:r>
          </w:p>
          <w:p w14:paraId="45486FCA" w14:textId="77777777" w:rsidR="000C46E8" w:rsidRPr="0036208A" w:rsidRDefault="000C46E8" w:rsidP="00496476">
            <w:pPr>
              <w:pStyle w:val="ListParagraph"/>
              <w:numPr>
                <w:ilvl w:val="1"/>
                <w:numId w:val="26"/>
              </w:numPr>
              <w:contextualSpacing/>
              <w:jc w:val="both"/>
              <w:rPr>
                <w:rFonts w:ascii="Arial" w:hAnsi="Arial" w:cs="Arial"/>
                <w:color w:val="000000"/>
                <w:sz w:val="20"/>
                <w:szCs w:val="20"/>
                <w:lang w:val="en-US"/>
              </w:rPr>
            </w:pPr>
            <w:r w:rsidRPr="0036208A">
              <w:rPr>
                <w:rFonts w:ascii="Arial" w:hAnsi="Arial" w:cs="Arial"/>
                <w:color w:val="000000"/>
                <w:sz w:val="20"/>
                <w:szCs w:val="20"/>
                <w:lang w:val="en-US"/>
              </w:rPr>
              <w:t>At least to the extent it reuses solutions for supporting Inter-carrier, inter-band</w:t>
            </w:r>
          </w:p>
          <w:p w14:paraId="06F56EDB" w14:textId="77777777" w:rsidR="000C46E8" w:rsidRPr="0036208A" w:rsidRDefault="000C46E8" w:rsidP="00496476">
            <w:pPr>
              <w:pStyle w:val="ListParagraph"/>
              <w:numPr>
                <w:ilvl w:val="1"/>
                <w:numId w:val="26"/>
              </w:numPr>
              <w:contextualSpacing/>
              <w:jc w:val="both"/>
              <w:rPr>
                <w:rFonts w:ascii="Arial" w:hAnsi="Arial" w:cs="Arial"/>
                <w:color w:val="000000"/>
                <w:sz w:val="20"/>
                <w:szCs w:val="20"/>
                <w:lang w:val="en-US"/>
              </w:rPr>
            </w:pPr>
            <w:r w:rsidRPr="0036208A">
              <w:rPr>
                <w:rFonts w:ascii="Arial" w:hAnsi="Arial" w:cs="Arial"/>
                <w:color w:val="000000"/>
                <w:sz w:val="20"/>
                <w:szCs w:val="20"/>
                <w:lang w:val="en-US"/>
              </w:rPr>
              <w:t>FFS: whether specific enhancements for inter-carrier, intra-band DC are introduced in Rel-17</w:t>
            </w:r>
          </w:p>
          <w:p w14:paraId="6967E2DE" w14:textId="4EEAA1F3" w:rsidR="000C46E8" w:rsidRPr="0036208A" w:rsidRDefault="000C46E8" w:rsidP="00496476">
            <w:pPr>
              <w:contextualSpacing/>
              <w:jc w:val="both"/>
              <w:rPr>
                <w:rFonts w:ascii="Arial" w:hAnsi="Arial" w:cs="Arial"/>
                <w:color w:val="000000"/>
                <w:sz w:val="20"/>
                <w:szCs w:val="20"/>
              </w:rPr>
            </w:pPr>
          </w:p>
        </w:tc>
      </w:tr>
    </w:tbl>
    <w:p w14:paraId="3473B3C8" w14:textId="5443CB19" w:rsidR="004B19C3" w:rsidRPr="00FC3BA9" w:rsidRDefault="004B19C3" w:rsidP="00FC3BA9">
      <w:pPr>
        <w:pStyle w:val="BodyText"/>
        <w:spacing w:before="240"/>
        <w:rPr>
          <w:rFonts w:cs="Arial"/>
          <w:sz w:val="20"/>
          <w:szCs w:val="20"/>
        </w:rPr>
      </w:pPr>
      <w:r w:rsidRPr="0036208A">
        <w:rPr>
          <w:rFonts w:cs="Arial"/>
          <w:sz w:val="20"/>
          <w:szCs w:val="20"/>
        </w:rPr>
        <w:lastRenderedPageBreak/>
        <w:t xml:space="preserve">According to the IAB TR 38.874 </w:t>
      </w:r>
      <w:r w:rsidRPr="0036208A">
        <w:rPr>
          <w:rFonts w:cs="Arial"/>
          <w:sz w:val="20"/>
          <w:szCs w:val="20"/>
        </w:rPr>
        <w:fldChar w:fldCharType="begin"/>
      </w:r>
      <w:r w:rsidRPr="0036208A">
        <w:rPr>
          <w:rFonts w:cs="Arial"/>
          <w:sz w:val="20"/>
          <w:szCs w:val="20"/>
        </w:rPr>
        <w:instrText xml:space="preserve"> REF _Ref59131276 \r \h </w:instrText>
      </w:r>
      <w:r w:rsidR="006E1EF5" w:rsidRPr="0036208A">
        <w:rPr>
          <w:rFonts w:cs="Arial"/>
          <w:sz w:val="20"/>
          <w:szCs w:val="20"/>
        </w:rPr>
        <w:instrText xml:space="preserve"> \* MERGEFORMAT </w:instrText>
      </w:r>
      <w:r w:rsidRPr="0036208A">
        <w:rPr>
          <w:rFonts w:cs="Arial"/>
          <w:sz w:val="20"/>
          <w:szCs w:val="20"/>
        </w:rPr>
      </w:r>
      <w:r w:rsidRPr="0036208A">
        <w:rPr>
          <w:rFonts w:cs="Arial"/>
          <w:sz w:val="20"/>
          <w:szCs w:val="20"/>
        </w:rPr>
        <w:fldChar w:fldCharType="separate"/>
      </w:r>
      <w:r w:rsidR="009C0672">
        <w:rPr>
          <w:rFonts w:cs="Arial"/>
          <w:sz w:val="20"/>
          <w:szCs w:val="20"/>
        </w:rPr>
        <w:t>[7]</w:t>
      </w:r>
      <w:r w:rsidRPr="0036208A">
        <w:rPr>
          <w:rFonts w:cs="Arial"/>
          <w:sz w:val="20"/>
          <w:szCs w:val="20"/>
        </w:rPr>
        <w:fldChar w:fldCharType="end"/>
      </w:r>
      <w:r w:rsidRPr="0036208A">
        <w:rPr>
          <w:rFonts w:cs="Arial"/>
          <w:sz w:val="20"/>
          <w:szCs w:val="20"/>
        </w:rPr>
        <w:t xml:space="preserve">, when operating in SA-mode, an NR+NR dual connected IAB-node can add redundant routes by establishing an MCG-link to one parent node IAB-DU and an SCG-link to another parent node IAB-DU. The dual-connecting IAB-MT will enable the SCG link using the Rel-15 NR-DC procedures </w:t>
      </w:r>
      <w:r w:rsidRPr="0036208A">
        <w:rPr>
          <w:rFonts w:cs="Arial"/>
          <w:sz w:val="20"/>
          <w:szCs w:val="20"/>
        </w:rPr>
        <w:fldChar w:fldCharType="begin"/>
      </w:r>
      <w:r w:rsidRPr="0036208A">
        <w:rPr>
          <w:rFonts w:cs="Arial"/>
          <w:sz w:val="20"/>
          <w:szCs w:val="20"/>
        </w:rPr>
        <w:instrText xml:space="preserve"> REF _Ref59131292 \r \h </w:instrText>
      </w:r>
      <w:r w:rsidR="006E1EF5" w:rsidRPr="0036208A">
        <w:rPr>
          <w:rFonts w:cs="Arial"/>
          <w:sz w:val="20"/>
          <w:szCs w:val="20"/>
        </w:rPr>
        <w:instrText xml:space="preserve"> \* MERGEFORMAT </w:instrText>
      </w:r>
      <w:r w:rsidRPr="0036208A">
        <w:rPr>
          <w:rFonts w:cs="Arial"/>
          <w:sz w:val="20"/>
          <w:szCs w:val="20"/>
        </w:rPr>
      </w:r>
      <w:r w:rsidRPr="0036208A">
        <w:rPr>
          <w:rFonts w:cs="Arial"/>
          <w:sz w:val="20"/>
          <w:szCs w:val="20"/>
        </w:rPr>
        <w:fldChar w:fldCharType="separate"/>
      </w:r>
      <w:r w:rsidR="009C0672">
        <w:rPr>
          <w:rFonts w:cs="Arial"/>
          <w:sz w:val="20"/>
          <w:szCs w:val="20"/>
        </w:rPr>
        <w:t>[8]</w:t>
      </w:r>
      <w:r w:rsidRPr="0036208A">
        <w:rPr>
          <w:rFonts w:cs="Arial"/>
          <w:sz w:val="20"/>
          <w:szCs w:val="20"/>
        </w:rPr>
        <w:fldChar w:fldCharType="end"/>
      </w:r>
      <w:r w:rsidRPr="0036208A">
        <w:rPr>
          <w:rFonts w:cs="Arial"/>
          <w:sz w:val="20"/>
          <w:szCs w:val="20"/>
        </w:rPr>
        <w:t xml:space="preserve">. As described in TS 37.340 </w:t>
      </w:r>
      <w:r w:rsidRPr="0036208A">
        <w:rPr>
          <w:rFonts w:cs="Arial"/>
          <w:sz w:val="20"/>
          <w:szCs w:val="20"/>
        </w:rPr>
        <w:fldChar w:fldCharType="begin"/>
      </w:r>
      <w:r w:rsidRPr="0036208A">
        <w:rPr>
          <w:rFonts w:cs="Arial"/>
          <w:sz w:val="20"/>
          <w:szCs w:val="20"/>
        </w:rPr>
        <w:instrText xml:space="preserve"> REF _Ref58868861 \r \h </w:instrText>
      </w:r>
      <w:r w:rsidR="006E1EF5" w:rsidRPr="0036208A">
        <w:rPr>
          <w:rFonts w:cs="Arial"/>
          <w:sz w:val="20"/>
          <w:szCs w:val="20"/>
        </w:rPr>
        <w:instrText xml:space="preserve"> \* MERGEFORMAT </w:instrText>
      </w:r>
      <w:r w:rsidRPr="0036208A">
        <w:rPr>
          <w:rFonts w:cs="Arial"/>
          <w:sz w:val="20"/>
          <w:szCs w:val="20"/>
        </w:rPr>
      </w:r>
      <w:r w:rsidRPr="0036208A">
        <w:rPr>
          <w:rFonts w:cs="Arial"/>
          <w:sz w:val="20"/>
          <w:szCs w:val="20"/>
        </w:rPr>
        <w:fldChar w:fldCharType="separate"/>
      </w:r>
      <w:r w:rsidR="009C0672">
        <w:rPr>
          <w:rFonts w:cs="Arial"/>
          <w:sz w:val="20"/>
          <w:szCs w:val="20"/>
        </w:rPr>
        <w:t>[6]</w:t>
      </w:r>
      <w:r w:rsidRPr="0036208A">
        <w:rPr>
          <w:rFonts w:cs="Arial"/>
          <w:sz w:val="20"/>
          <w:szCs w:val="20"/>
        </w:rPr>
        <w:fldChar w:fldCharType="end"/>
      </w:r>
      <w:r w:rsidRPr="0036208A">
        <w:rPr>
          <w:rFonts w:cs="Arial"/>
          <w:sz w:val="20"/>
          <w:szCs w:val="20"/>
        </w:rPr>
        <w:t xml:space="preserve">, NR+NR dual connectivity is a Multi-Radio Dual Connectivity (MR-DC) configuration with the 5GC. In MR-DC, two or more Component Carriers (CCs) may be aggregated over two cell groups for the purpose of bandwidth extension. </w:t>
      </w:r>
      <w:r w:rsidRPr="0036208A" w:rsidDel="007E67FD">
        <w:rPr>
          <w:rFonts w:cs="Arial"/>
          <w:sz w:val="20"/>
          <w:szCs w:val="20"/>
        </w:rPr>
        <w:t xml:space="preserve">This is a typical inter-carrier NR-DC framework where the MCG-link and the SCG-link are using independent carriers for which a coordination of time and frequency MT </w:t>
      </w:r>
      <w:r w:rsidRPr="0036208A">
        <w:rPr>
          <w:rFonts w:cs="Arial"/>
          <w:sz w:val="20"/>
          <w:szCs w:val="20"/>
        </w:rPr>
        <w:t xml:space="preserve">resource </w:t>
      </w:r>
      <w:r w:rsidRPr="0036208A" w:rsidDel="007E67FD">
        <w:rPr>
          <w:rFonts w:cs="Arial"/>
          <w:sz w:val="20"/>
          <w:szCs w:val="20"/>
        </w:rPr>
        <w:t>is not required.</w:t>
      </w:r>
    </w:p>
    <w:p w14:paraId="39A49EC7" w14:textId="62319BF1" w:rsidR="004B19C3" w:rsidRPr="00D75B25" w:rsidRDefault="004B19C3" w:rsidP="00496476">
      <w:pPr>
        <w:pStyle w:val="Observation"/>
        <w:spacing w:after="160"/>
        <w:rPr>
          <w:sz w:val="20"/>
          <w:szCs w:val="20"/>
        </w:rPr>
      </w:pPr>
      <w:bookmarkStart w:id="140" w:name="_Toc61903470"/>
      <w:r w:rsidRPr="00D75B25">
        <w:rPr>
          <w:sz w:val="20"/>
          <w:szCs w:val="20"/>
        </w:rPr>
        <w:t>For independent carriers, IAB-MT resource coordination between the parent nodes is not needed.</w:t>
      </w:r>
      <w:bookmarkEnd w:id="140"/>
    </w:p>
    <w:p w14:paraId="31991207" w14:textId="0022C9B0" w:rsidR="004B19C3" w:rsidRPr="00FC3BA9" w:rsidRDefault="004B19C3" w:rsidP="00FC3BA9">
      <w:pPr>
        <w:pStyle w:val="BodyText"/>
        <w:rPr>
          <w:rFonts w:cs="Arial"/>
          <w:sz w:val="20"/>
          <w:szCs w:val="20"/>
        </w:rPr>
      </w:pPr>
      <w:r w:rsidRPr="0036208A">
        <w:rPr>
          <w:rFonts w:cs="Arial"/>
          <w:sz w:val="20"/>
          <w:szCs w:val="20"/>
        </w:rPr>
        <w:t xml:space="preserve">In the current NR-DC framework, the MCG-link and the SCG-link are equipped with </w:t>
      </w:r>
      <w:r w:rsidRPr="0036208A">
        <w:rPr>
          <w:rFonts w:cs="Arial"/>
          <w:i/>
          <w:sz w:val="20"/>
          <w:szCs w:val="20"/>
        </w:rPr>
        <w:t>distinct schedulers</w:t>
      </w:r>
      <w:r w:rsidRPr="0036208A">
        <w:rPr>
          <w:rFonts w:cs="Arial"/>
          <w:sz w:val="20"/>
          <w:szCs w:val="20"/>
        </w:rPr>
        <w:t xml:space="preserve"> which can operate independently </w:t>
      </w:r>
      <w:r w:rsidRPr="0036208A">
        <w:rPr>
          <w:rFonts w:cs="Arial"/>
          <w:i/>
          <w:sz w:val="20"/>
          <w:szCs w:val="20"/>
        </w:rPr>
        <w:t>over the entire MCG and SCG carriers</w:t>
      </w:r>
      <w:r w:rsidRPr="0036208A">
        <w:rPr>
          <w:rFonts w:cs="Arial"/>
          <w:sz w:val="20"/>
          <w:szCs w:val="20"/>
        </w:rPr>
        <w:t>.</w:t>
      </w:r>
    </w:p>
    <w:p w14:paraId="6BAF3346" w14:textId="7994819A" w:rsidR="00125829" w:rsidRPr="00AF527F" w:rsidRDefault="00125829" w:rsidP="00496476">
      <w:pPr>
        <w:pStyle w:val="Heading2"/>
        <w:jc w:val="both"/>
        <w:rPr>
          <w:lang w:val="en-US"/>
        </w:rPr>
      </w:pPr>
      <w:r w:rsidRPr="00AF527F">
        <w:rPr>
          <w:lang w:val="en-US"/>
        </w:rPr>
        <w:t>DCI 2_5 in multi-parent scenario</w:t>
      </w:r>
    </w:p>
    <w:p w14:paraId="3CACCA92" w14:textId="157E60C4" w:rsidR="001B443A" w:rsidRPr="007A56E0" w:rsidRDefault="00125829" w:rsidP="00496476">
      <w:pPr>
        <w:jc w:val="both"/>
        <w:rPr>
          <w:rFonts w:ascii="Arial" w:hAnsi="Arial" w:cs="Arial"/>
          <w:sz w:val="20"/>
          <w:szCs w:val="20"/>
          <w:lang w:val="en-GB"/>
        </w:rPr>
      </w:pPr>
      <w:r w:rsidRPr="0036208A">
        <w:rPr>
          <w:rFonts w:ascii="Arial" w:hAnsi="Arial" w:cs="Arial"/>
          <w:sz w:val="20"/>
          <w:szCs w:val="20"/>
        </w:rPr>
        <w:t xml:space="preserve">In Rel-16 IAB there are two ways for the parent nodes, to indicate the availability of the soft DU resource: implicit indication and explicit </w:t>
      </w:r>
      <w:r w:rsidR="007E67FD" w:rsidRPr="0036208A">
        <w:rPr>
          <w:rFonts w:ascii="Arial" w:hAnsi="Arial" w:cs="Arial"/>
          <w:sz w:val="20"/>
          <w:szCs w:val="20"/>
        </w:rPr>
        <w:t>indication</w:t>
      </w:r>
      <w:r w:rsidRPr="0036208A">
        <w:rPr>
          <w:rFonts w:ascii="Arial" w:hAnsi="Arial" w:cs="Arial"/>
          <w:sz w:val="20"/>
          <w:szCs w:val="20"/>
        </w:rPr>
        <w:t xml:space="preserve">. The explicit indication, referred to as Availability Indication (AI), uses DCI Format 2_5 for dynamically indicating </w:t>
      </w:r>
      <w:r w:rsidR="00B338F8" w:rsidRPr="0036208A">
        <w:rPr>
          <w:rFonts w:ascii="Arial" w:hAnsi="Arial" w:cs="Arial"/>
          <w:sz w:val="20"/>
          <w:szCs w:val="20"/>
        </w:rPr>
        <w:t xml:space="preserve">the </w:t>
      </w:r>
      <w:r w:rsidRPr="0036208A">
        <w:rPr>
          <w:rFonts w:ascii="Arial" w:hAnsi="Arial" w:cs="Arial"/>
          <w:sz w:val="20"/>
          <w:szCs w:val="20"/>
        </w:rPr>
        <w:t xml:space="preserve">availability </w:t>
      </w:r>
      <w:r w:rsidR="00B338F8" w:rsidRPr="0036208A">
        <w:rPr>
          <w:rFonts w:ascii="Arial" w:hAnsi="Arial" w:cs="Arial"/>
          <w:sz w:val="20"/>
          <w:szCs w:val="20"/>
        </w:rPr>
        <w:t xml:space="preserve">of DU Soft resource </w:t>
      </w:r>
      <w:r w:rsidRPr="0036208A">
        <w:rPr>
          <w:rFonts w:ascii="Arial" w:hAnsi="Arial" w:cs="Arial"/>
          <w:sz w:val="20"/>
          <w:szCs w:val="20"/>
        </w:rPr>
        <w:t>in a slot.</w:t>
      </w:r>
      <w:r w:rsidR="00495B9A" w:rsidRPr="0036208A">
        <w:rPr>
          <w:rFonts w:ascii="Arial" w:hAnsi="Arial" w:cs="Arial"/>
          <w:sz w:val="20"/>
          <w:szCs w:val="20"/>
        </w:rPr>
        <w:t xml:space="preserve"> </w:t>
      </w:r>
      <w:r w:rsidRPr="0036208A">
        <w:rPr>
          <w:rFonts w:ascii="Arial" w:hAnsi="Arial" w:cs="Arial"/>
          <w:sz w:val="20"/>
          <w:szCs w:val="20"/>
        </w:rPr>
        <w:t xml:space="preserve">For multi-parent nodes operating in inter-carrier DC, different parent nodes </w:t>
      </w:r>
      <w:r w:rsidR="001D0133" w:rsidRPr="0036208A">
        <w:rPr>
          <w:rFonts w:ascii="Arial" w:hAnsi="Arial" w:cs="Arial"/>
          <w:sz w:val="20"/>
          <w:szCs w:val="20"/>
        </w:rPr>
        <w:t>communicate with</w:t>
      </w:r>
      <w:r w:rsidR="00B338F8" w:rsidRPr="0036208A">
        <w:rPr>
          <w:rFonts w:ascii="Arial" w:hAnsi="Arial" w:cs="Arial"/>
          <w:sz w:val="20"/>
          <w:szCs w:val="20"/>
        </w:rPr>
        <w:t xml:space="preserve"> the IAB-MT using</w:t>
      </w:r>
      <w:r w:rsidRPr="0036208A">
        <w:rPr>
          <w:rFonts w:ascii="Arial" w:hAnsi="Arial" w:cs="Arial"/>
          <w:sz w:val="20"/>
          <w:szCs w:val="20"/>
        </w:rPr>
        <w:t xml:space="preserve"> different component carriers (CCs). </w:t>
      </w:r>
      <w:r w:rsidR="001D0133" w:rsidRPr="007A56E0">
        <w:rPr>
          <w:rFonts w:ascii="Arial" w:hAnsi="Arial" w:cs="Arial"/>
          <w:sz w:val="20"/>
          <w:szCs w:val="20"/>
          <w:lang w:val="en-GB"/>
        </w:rPr>
        <w:t xml:space="preserve">Consider that the H/S/NA attributes are configured per {MT CC, DU cell} pair, as agreed in RAN1 #98 </w:t>
      </w:r>
      <w:r w:rsidR="00AF527F">
        <w:rPr>
          <w:rFonts w:ascii="Arial" w:hAnsi="Arial" w:cs="Arial"/>
          <w:sz w:val="20"/>
          <w:szCs w:val="20"/>
        </w:rPr>
        <w:fldChar w:fldCharType="begin"/>
      </w:r>
      <w:r w:rsidR="00AF527F">
        <w:rPr>
          <w:rFonts w:ascii="Arial" w:hAnsi="Arial" w:cs="Arial"/>
          <w:sz w:val="20"/>
          <w:szCs w:val="20"/>
        </w:rPr>
        <w:instrText xml:space="preserve"> REF _Ref58869165 \r \h  \* MERGEFORMAT </w:instrText>
      </w:r>
      <w:r w:rsidR="00AF527F">
        <w:rPr>
          <w:rFonts w:ascii="Arial" w:hAnsi="Arial" w:cs="Arial"/>
          <w:sz w:val="20"/>
          <w:szCs w:val="20"/>
        </w:rPr>
      </w:r>
      <w:r w:rsidR="00AF527F">
        <w:rPr>
          <w:rFonts w:ascii="Arial" w:hAnsi="Arial" w:cs="Arial"/>
          <w:sz w:val="20"/>
          <w:szCs w:val="20"/>
        </w:rPr>
        <w:fldChar w:fldCharType="separate"/>
      </w:r>
      <w:r w:rsidR="009C0672">
        <w:rPr>
          <w:rFonts w:ascii="Arial" w:hAnsi="Arial" w:cs="Arial"/>
          <w:sz w:val="20"/>
          <w:szCs w:val="20"/>
        </w:rPr>
        <w:t>[5]</w:t>
      </w:r>
      <w:r w:rsidR="00AF527F">
        <w:rPr>
          <w:rFonts w:ascii="Arial" w:hAnsi="Arial" w:cs="Arial"/>
          <w:sz w:val="20"/>
          <w:szCs w:val="20"/>
        </w:rPr>
        <w:fldChar w:fldCharType="end"/>
      </w:r>
      <w:r w:rsidR="001B443A" w:rsidRPr="0036208A">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125829" w:rsidRPr="0036208A" w14:paraId="01C236B5" w14:textId="77777777" w:rsidTr="00660091">
        <w:tc>
          <w:tcPr>
            <w:tcW w:w="9629" w:type="dxa"/>
          </w:tcPr>
          <w:p w14:paraId="264F89E6" w14:textId="77777777" w:rsidR="00125829" w:rsidRPr="0036208A" w:rsidRDefault="00125829" w:rsidP="00496476">
            <w:pPr>
              <w:ind w:left="1440" w:hanging="1440"/>
              <w:jc w:val="both"/>
              <w:rPr>
                <w:b/>
                <w:lang w:eastAsia="x-none"/>
              </w:rPr>
            </w:pPr>
            <w:r w:rsidRPr="0036208A">
              <w:rPr>
                <w:b/>
                <w:highlight w:val="green"/>
                <w:lang w:eastAsia="x-none"/>
              </w:rPr>
              <w:t>Agreements</w:t>
            </w:r>
            <w:r w:rsidRPr="0036208A">
              <w:rPr>
                <w:b/>
                <w:lang w:eastAsia="x-none"/>
              </w:rPr>
              <w:t>:</w:t>
            </w:r>
          </w:p>
          <w:p w14:paraId="546A0157" w14:textId="77777777" w:rsidR="00125829" w:rsidRPr="0036208A" w:rsidRDefault="00125829" w:rsidP="00496476">
            <w:pPr>
              <w:jc w:val="both"/>
              <w:rPr>
                <w:rFonts w:ascii="Arial" w:hAnsi="Arial" w:cs="Arial"/>
                <w:sz w:val="20"/>
                <w:szCs w:val="20"/>
              </w:rPr>
            </w:pPr>
            <w:r w:rsidRPr="0036208A">
              <w:rPr>
                <w:rFonts w:ascii="Arial" w:hAnsi="Arial" w:cs="Arial"/>
                <w:sz w:val="20"/>
                <w:szCs w:val="20"/>
              </w:rPr>
              <w:t xml:space="preserve">The H/S/NA attributes for the per-cell DU resource configuration should </w:t>
            </w:r>
            <w:proofErr w:type="gramStart"/>
            <w:r w:rsidRPr="0036208A">
              <w:rPr>
                <w:rFonts w:ascii="Arial" w:hAnsi="Arial" w:cs="Arial"/>
                <w:sz w:val="20"/>
                <w:szCs w:val="20"/>
              </w:rPr>
              <w:t>take into account</w:t>
            </w:r>
            <w:proofErr w:type="gramEnd"/>
            <w:r w:rsidRPr="0036208A">
              <w:rPr>
                <w:rFonts w:ascii="Arial" w:hAnsi="Arial" w:cs="Arial"/>
                <w:sz w:val="20"/>
                <w:szCs w:val="20"/>
              </w:rPr>
              <w:t xml:space="preserve"> the associated MT carrier frequency(</w:t>
            </w:r>
            <w:proofErr w:type="spellStart"/>
            <w:r w:rsidRPr="0036208A">
              <w:rPr>
                <w:rFonts w:ascii="Arial" w:hAnsi="Arial" w:cs="Arial"/>
                <w:sz w:val="20"/>
                <w:szCs w:val="20"/>
              </w:rPr>
              <w:t>ies</w:t>
            </w:r>
            <w:proofErr w:type="spellEnd"/>
            <w:r w:rsidRPr="0036208A">
              <w:rPr>
                <w:rFonts w:ascii="Arial" w:hAnsi="Arial" w:cs="Arial"/>
                <w:sz w:val="20"/>
                <w:szCs w:val="20"/>
              </w:rPr>
              <w:t>).</w:t>
            </w:r>
          </w:p>
        </w:tc>
      </w:tr>
    </w:tbl>
    <w:p w14:paraId="69162391" w14:textId="05BFE795" w:rsidR="001B443A" w:rsidRPr="0036208A" w:rsidRDefault="0088201F" w:rsidP="002F3F5B">
      <w:pPr>
        <w:spacing w:before="240"/>
        <w:jc w:val="both"/>
        <w:rPr>
          <w:rFonts w:ascii="Arial" w:hAnsi="Arial" w:cs="Arial"/>
          <w:sz w:val="20"/>
          <w:szCs w:val="20"/>
        </w:rPr>
      </w:pPr>
      <w:r>
        <w:rPr>
          <w:rFonts w:ascii="Arial" w:hAnsi="Arial" w:cs="Arial"/>
          <w:sz w:val="20"/>
          <w:szCs w:val="20"/>
        </w:rPr>
        <w:t xml:space="preserve">The agreement </w:t>
      </w:r>
      <w:r w:rsidR="001B443A" w:rsidRPr="0036208A">
        <w:rPr>
          <w:rFonts w:ascii="Arial" w:hAnsi="Arial" w:cs="Arial"/>
          <w:sz w:val="20"/>
          <w:szCs w:val="20"/>
        </w:rPr>
        <w:t>means that it is possible that a DU cell can have two different H/S/NA resource configurations associated with two different parent nodes. Specifically, DCI 2_5 is signaled from a parent node when there is a Soft resource configured at the IAB-DU associated with the CC used by this parent node. In this case, parent nodes can signal DCI 2_5 to the IAB-MT independently.</w:t>
      </w:r>
    </w:p>
    <w:p w14:paraId="54DDE42B" w14:textId="020A2665" w:rsidR="00125829" w:rsidRPr="00AF527F" w:rsidRDefault="00887B5E" w:rsidP="00496476">
      <w:pPr>
        <w:jc w:val="both"/>
        <w:rPr>
          <w:rFonts w:ascii="Arial" w:hAnsi="Arial" w:cs="Arial"/>
          <w:sz w:val="20"/>
          <w:szCs w:val="20"/>
        </w:rPr>
      </w:pPr>
      <w:r w:rsidRPr="0036208A">
        <w:rPr>
          <w:rFonts w:ascii="Arial" w:hAnsi="Arial" w:cs="Arial"/>
          <w:sz w:val="20"/>
          <w:szCs w:val="20"/>
        </w:rPr>
        <w:fldChar w:fldCharType="begin"/>
      </w:r>
      <w:r w:rsidRPr="0036208A">
        <w:rPr>
          <w:rFonts w:ascii="Arial" w:hAnsi="Arial" w:cs="Arial"/>
          <w:sz w:val="20"/>
          <w:szCs w:val="20"/>
        </w:rPr>
        <w:instrText xml:space="preserve"> REF _Ref61363830 \h </w:instrText>
      </w:r>
      <w:r w:rsidR="00434F5F" w:rsidRPr="0036208A">
        <w:rPr>
          <w:rFonts w:ascii="Arial" w:hAnsi="Arial" w:cs="Arial"/>
          <w:sz w:val="20"/>
          <w:szCs w:val="20"/>
        </w:rPr>
        <w:instrText xml:space="preserve"> \* MERGEFORMAT </w:instrText>
      </w:r>
      <w:r w:rsidRPr="0036208A">
        <w:rPr>
          <w:rFonts w:ascii="Arial" w:hAnsi="Arial" w:cs="Arial"/>
          <w:sz w:val="20"/>
          <w:szCs w:val="20"/>
        </w:rPr>
      </w:r>
      <w:r w:rsidRPr="0036208A">
        <w:rPr>
          <w:rFonts w:ascii="Arial" w:hAnsi="Arial" w:cs="Arial"/>
          <w:sz w:val="20"/>
          <w:szCs w:val="20"/>
        </w:rPr>
        <w:fldChar w:fldCharType="separate"/>
      </w:r>
      <w:r w:rsidR="009C0672" w:rsidRPr="00F25871">
        <w:t xml:space="preserve">Figure </w:t>
      </w:r>
      <w:r w:rsidR="009C0672">
        <w:t>3</w:t>
      </w:r>
      <w:r w:rsidRPr="0036208A">
        <w:rPr>
          <w:rFonts w:ascii="Arial" w:hAnsi="Arial" w:cs="Arial"/>
          <w:sz w:val="20"/>
          <w:szCs w:val="20"/>
        </w:rPr>
        <w:fldChar w:fldCharType="end"/>
      </w:r>
      <w:r w:rsidR="00125829" w:rsidRPr="0036208A">
        <w:rPr>
          <w:rFonts w:ascii="Arial" w:hAnsi="Arial" w:cs="Arial"/>
          <w:sz w:val="20"/>
          <w:szCs w:val="20"/>
        </w:rPr>
        <w:t xml:space="preserve"> depicts the availability indication (DCI format 2_5) in a dual-parent case, where</w:t>
      </w:r>
      <w:r w:rsidR="00894F97" w:rsidRPr="0036208A">
        <w:rPr>
          <w:rFonts w:ascii="Arial" w:hAnsi="Arial" w:cs="Arial"/>
          <w:sz w:val="20"/>
          <w:szCs w:val="20"/>
        </w:rPr>
        <w:t xml:space="preserve"> in the example</w:t>
      </w:r>
      <w:r w:rsidR="00125829" w:rsidRPr="0036208A">
        <w:rPr>
          <w:rFonts w:ascii="Arial" w:hAnsi="Arial" w:cs="Arial"/>
          <w:sz w:val="20"/>
          <w:szCs w:val="20"/>
        </w:rPr>
        <w:t xml:space="preserve"> the carrier components are </w:t>
      </w:r>
      <w:r w:rsidR="007E67FD" w:rsidRPr="0036208A">
        <w:rPr>
          <w:rFonts w:ascii="Arial" w:hAnsi="Arial" w:cs="Arial"/>
          <w:sz w:val="20"/>
          <w:szCs w:val="20"/>
        </w:rPr>
        <w:t xml:space="preserve">associated to </w:t>
      </w:r>
      <w:r w:rsidR="00125829" w:rsidRPr="0036208A">
        <w:rPr>
          <w:rFonts w:ascii="Arial" w:hAnsi="Arial" w:cs="Arial"/>
          <w:sz w:val="20"/>
          <w:szCs w:val="20"/>
        </w:rPr>
        <w:t>the MCG (Cell-1) and SCG (Cell-2)</w:t>
      </w:r>
      <w:r w:rsidR="00495B9A" w:rsidRPr="0036208A">
        <w:rPr>
          <w:rFonts w:ascii="Arial" w:hAnsi="Arial" w:cs="Arial"/>
          <w:sz w:val="20"/>
          <w:szCs w:val="20"/>
        </w:rPr>
        <w:t xml:space="preserve"> cells</w:t>
      </w:r>
      <w:r w:rsidR="00125829" w:rsidRPr="0036208A">
        <w:rPr>
          <w:rFonts w:ascii="Arial" w:hAnsi="Arial" w:cs="Arial"/>
          <w:sz w:val="20"/>
          <w:szCs w:val="20"/>
        </w:rPr>
        <w:t xml:space="preserve">. </w:t>
      </w:r>
      <w:r w:rsidR="004C0FBB" w:rsidRPr="0036208A">
        <w:rPr>
          <w:rFonts w:ascii="Arial" w:hAnsi="Arial" w:cs="Arial"/>
          <w:sz w:val="20"/>
          <w:szCs w:val="20"/>
        </w:rPr>
        <w:t>As illustrated in the figure</w:t>
      </w:r>
      <w:r w:rsidR="00495B9A" w:rsidRPr="0036208A">
        <w:rPr>
          <w:rFonts w:ascii="Arial" w:hAnsi="Arial" w:cs="Arial"/>
          <w:sz w:val="20"/>
          <w:szCs w:val="20"/>
        </w:rPr>
        <w:t>, t</w:t>
      </w:r>
      <w:r w:rsidR="00125829" w:rsidRPr="0036208A">
        <w:rPr>
          <w:rFonts w:ascii="Arial" w:hAnsi="Arial" w:cs="Arial"/>
          <w:sz w:val="20"/>
          <w:szCs w:val="20"/>
        </w:rPr>
        <w:t xml:space="preserve">he both IAB-MT cells have overlapping spectrum with the IAB-DU Cell-1, </w:t>
      </w:r>
      <w:r w:rsidR="00495B9A" w:rsidRPr="0036208A">
        <w:rPr>
          <w:rFonts w:ascii="Arial" w:hAnsi="Arial" w:cs="Arial"/>
          <w:sz w:val="20"/>
          <w:szCs w:val="20"/>
        </w:rPr>
        <w:t xml:space="preserve">while the IAB-DU Cell-2 </w:t>
      </w:r>
      <w:r w:rsidR="00125829" w:rsidRPr="0036208A">
        <w:rPr>
          <w:rFonts w:ascii="Arial" w:hAnsi="Arial" w:cs="Arial"/>
          <w:sz w:val="20"/>
          <w:szCs w:val="20"/>
        </w:rPr>
        <w:t>only</w:t>
      </w:r>
      <w:r w:rsidR="00FA45D4" w:rsidRPr="0036208A">
        <w:rPr>
          <w:rFonts w:ascii="Arial" w:hAnsi="Arial" w:cs="Arial"/>
          <w:sz w:val="20"/>
          <w:szCs w:val="20"/>
        </w:rPr>
        <w:t xml:space="preserve"> </w:t>
      </w:r>
      <w:r w:rsidR="00495B9A" w:rsidRPr="0036208A">
        <w:rPr>
          <w:rFonts w:ascii="Arial" w:hAnsi="Arial" w:cs="Arial"/>
          <w:sz w:val="20"/>
          <w:szCs w:val="20"/>
        </w:rPr>
        <w:t>share</w:t>
      </w:r>
      <w:r w:rsidR="004713D1" w:rsidRPr="0036208A">
        <w:rPr>
          <w:rFonts w:ascii="Arial" w:hAnsi="Arial" w:cs="Arial"/>
          <w:sz w:val="20"/>
          <w:szCs w:val="20"/>
        </w:rPr>
        <w:t>s</w:t>
      </w:r>
      <w:r w:rsidR="00495B9A" w:rsidRPr="0036208A">
        <w:rPr>
          <w:rFonts w:ascii="Arial" w:hAnsi="Arial" w:cs="Arial"/>
          <w:sz w:val="20"/>
          <w:szCs w:val="20"/>
        </w:rPr>
        <w:t xml:space="preserve"> the spectrum with </w:t>
      </w:r>
      <w:r w:rsidR="00FA45D4" w:rsidRPr="0036208A">
        <w:rPr>
          <w:rFonts w:ascii="Arial" w:hAnsi="Arial" w:cs="Arial"/>
          <w:sz w:val="20"/>
          <w:szCs w:val="20"/>
        </w:rPr>
        <w:t>the</w:t>
      </w:r>
      <w:r w:rsidR="00125829" w:rsidRPr="0036208A">
        <w:rPr>
          <w:rFonts w:ascii="Arial" w:hAnsi="Arial" w:cs="Arial"/>
          <w:sz w:val="20"/>
          <w:szCs w:val="20"/>
        </w:rPr>
        <w:t xml:space="preserve"> IAB-MT Cell-2. </w:t>
      </w:r>
      <w:r w:rsidR="00495B9A" w:rsidRPr="0036208A">
        <w:rPr>
          <w:rFonts w:ascii="Arial" w:hAnsi="Arial" w:cs="Arial"/>
          <w:sz w:val="20"/>
          <w:szCs w:val="20"/>
        </w:rPr>
        <w:t>Accordingly, t</w:t>
      </w:r>
      <w:r w:rsidR="00125829" w:rsidRPr="0036208A">
        <w:rPr>
          <w:rFonts w:ascii="Arial" w:hAnsi="Arial" w:cs="Arial"/>
          <w:sz w:val="20"/>
          <w:szCs w:val="20"/>
        </w:rPr>
        <w:t xml:space="preserve">he first parent node will provide the IAB-MT with one DCI format 2_5 for the </w:t>
      </w:r>
      <w:r w:rsidR="004713D1" w:rsidRPr="0036208A">
        <w:rPr>
          <w:rFonts w:ascii="Arial" w:hAnsi="Arial" w:cs="Arial"/>
          <w:sz w:val="20"/>
          <w:szCs w:val="20"/>
        </w:rPr>
        <w:t xml:space="preserve">DU resources configured as Soft for the pair </w:t>
      </w:r>
      <w:r w:rsidR="00125829" w:rsidRPr="0036208A">
        <w:rPr>
          <w:rFonts w:ascii="Arial" w:hAnsi="Arial" w:cs="Arial"/>
          <w:sz w:val="20"/>
          <w:szCs w:val="20"/>
        </w:rPr>
        <w:t>{MT Cell-1 (MCG), DU Cell-1}, and the second parent node will provide the IAB-MT with two availability indicators for the {MT Cell-2 (SCG), DU Cell-1} pair and the {MT Cell-2 (SCG), DU Cell-2} pair</w:t>
      </w:r>
      <w:r w:rsidR="00FA45D4" w:rsidRPr="0036208A">
        <w:rPr>
          <w:rFonts w:ascii="Arial" w:hAnsi="Arial" w:cs="Arial"/>
          <w:sz w:val="20"/>
          <w:szCs w:val="20"/>
        </w:rPr>
        <w:t>, respectively</w:t>
      </w:r>
      <w:r w:rsidR="00125829" w:rsidRPr="0036208A">
        <w:rPr>
          <w:rFonts w:ascii="Arial" w:hAnsi="Arial" w:cs="Arial"/>
          <w:sz w:val="20"/>
          <w:szCs w:val="20"/>
        </w:rPr>
        <w:t>.</w:t>
      </w:r>
      <w:r w:rsidR="00495B9A" w:rsidRPr="0036208A">
        <w:rPr>
          <w:rFonts w:ascii="Arial" w:hAnsi="Arial" w:cs="Arial"/>
          <w:sz w:val="20"/>
          <w:szCs w:val="20"/>
        </w:rPr>
        <w:t xml:space="preserve"> </w:t>
      </w:r>
      <w:r w:rsidR="00125829" w:rsidRPr="0036208A">
        <w:rPr>
          <w:rFonts w:ascii="Arial" w:hAnsi="Arial" w:cs="Arial"/>
          <w:sz w:val="20"/>
          <w:szCs w:val="20"/>
        </w:rPr>
        <w:t xml:space="preserve">It should be noted </w:t>
      </w:r>
      <w:r w:rsidR="00FA45D4" w:rsidRPr="0036208A">
        <w:rPr>
          <w:rFonts w:ascii="Arial" w:hAnsi="Arial" w:cs="Arial"/>
          <w:sz w:val="20"/>
          <w:szCs w:val="20"/>
        </w:rPr>
        <w:t xml:space="preserve">that </w:t>
      </w:r>
      <w:r w:rsidR="00125829" w:rsidRPr="0036208A">
        <w:rPr>
          <w:rFonts w:ascii="Arial" w:hAnsi="Arial" w:cs="Arial"/>
          <w:sz w:val="20"/>
          <w:szCs w:val="20"/>
        </w:rPr>
        <w:t xml:space="preserve">the availability indication for </w:t>
      </w:r>
      <w:r w:rsidR="004713D1" w:rsidRPr="0036208A">
        <w:rPr>
          <w:rFonts w:ascii="Arial" w:hAnsi="Arial" w:cs="Arial"/>
          <w:sz w:val="20"/>
          <w:szCs w:val="20"/>
        </w:rPr>
        <w:t xml:space="preserve">the </w:t>
      </w:r>
      <w:r w:rsidR="00125829" w:rsidRPr="0036208A">
        <w:rPr>
          <w:rFonts w:ascii="Arial" w:hAnsi="Arial" w:cs="Arial"/>
          <w:sz w:val="20"/>
          <w:szCs w:val="20"/>
        </w:rPr>
        <w:t xml:space="preserve">dual-parent case is </w:t>
      </w:r>
      <w:r w:rsidR="007E67FD" w:rsidRPr="0036208A">
        <w:rPr>
          <w:rFonts w:ascii="Arial" w:hAnsi="Arial" w:cs="Arial"/>
          <w:sz w:val="20"/>
          <w:szCs w:val="20"/>
        </w:rPr>
        <w:t xml:space="preserve">signaling-wise </w:t>
      </w:r>
      <w:proofErr w:type="gramStart"/>
      <w:r w:rsidR="00125829" w:rsidRPr="0036208A">
        <w:rPr>
          <w:rFonts w:ascii="Arial" w:hAnsi="Arial" w:cs="Arial"/>
          <w:sz w:val="20"/>
          <w:szCs w:val="20"/>
        </w:rPr>
        <w:t xml:space="preserve">similar </w:t>
      </w:r>
      <w:r w:rsidR="001B443A" w:rsidRPr="0036208A">
        <w:rPr>
          <w:rFonts w:ascii="Arial" w:hAnsi="Arial" w:cs="Arial"/>
          <w:sz w:val="20"/>
          <w:szCs w:val="20"/>
        </w:rPr>
        <w:t>to</w:t>
      </w:r>
      <w:proofErr w:type="gramEnd"/>
      <w:r w:rsidR="001B443A" w:rsidRPr="0036208A">
        <w:rPr>
          <w:rFonts w:ascii="Arial" w:hAnsi="Arial" w:cs="Arial"/>
          <w:sz w:val="20"/>
          <w:szCs w:val="20"/>
        </w:rPr>
        <w:t xml:space="preserve"> the single-parent case. Hence, there is no need for additional enhancement over Rel-16 solution for the DCI format 2_5 indication.</w:t>
      </w:r>
    </w:p>
    <w:p w14:paraId="532CAB04" w14:textId="77777777" w:rsidR="00887B5E" w:rsidRPr="0036208A" w:rsidRDefault="00125829" w:rsidP="002A37D4">
      <w:pPr>
        <w:keepNext/>
        <w:jc w:val="center"/>
      </w:pPr>
      <w:r w:rsidRPr="0036208A">
        <w:rPr>
          <w:noProof/>
        </w:rPr>
        <w:lastRenderedPageBreak/>
        <w:drawing>
          <wp:inline distT="0" distB="0" distL="0" distR="0" wp14:anchorId="58215E7D" wp14:editId="1332CBF6">
            <wp:extent cx="4968816" cy="1991857"/>
            <wp:effectExtent l="0" t="0" r="0" b="8890"/>
            <wp:docPr id="2"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ulti_parent_c.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74405" cy="1994098"/>
                    </a:xfrm>
                    <a:prstGeom prst="rect">
                      <a:avLst/>
                    </a:prstGeom>
                  </pic:spPr>
                </pic:pic>
              </a:graphicData>
            </a:graphic>
          </wp:inline>
        </w:drawing>
      </w:r>
    </w:p>
    <w:p w14:paraId="5F873902" w14:textId="4F9DD25D" w:rsidR="00125829" w:rsidRPr="00B32B64" w:rsidRDefault="00887B5E" w:rsidP="00496476">
      <w:pPr>
        <w:pStyle w:val="Caption"/>
        <w:jc w:val="both"/>
      </w:pPr>
      <w:bookmarkStart w:id="141" w:name="_Ref61363830"/>
      <w:r w:rsidRPr="00F25871">
        <w:t xml:space="preserve">Figure </w:t>
      </w:r>
      <w:r w:rsidRPr="0036208A">
        <w:fldChar w:fldCharType="begin"/>
      </w:r>
      <w:r w:rsidRPr="00B32B64">
        <w:instrText xml:space="preserve"> SEQ Figure \* ARABIC </w:instrText>
      </w:r>
      <w:r w:rsidRPr="0036208A">
        <w:fldChar w:fldCharType="separate"/>
      </w:r>
      <w:r w:rsidR="009C0672">
        <w:rPr>
          <w:noProof/>
        </w:rPr>
        <w:t>3</w:t>
      </w:r>
      <w:r w:rsidRPr="0036208A">
        <w:fldChar w:fldCharType="end"/>
      </w:r>
      <w:bookmarkEnd w:id="141"/>
      <w:r w:rsidRPr="00F25871">
        <w:t xml:space="preserve">: </w:t>
      </w:r>
      <w:r w:rsidRPr="004C2A06">
        <w:t>An example of ava</w:t>
      </w:r>
      <w:r w:rsidRPr="008F1E1C">
        <w:t>ilability indication in the dual-parent scenario. The two IAB-MT serving cells (MCG and SCG, respectively) and the IAB-DU cell-1 have partially overlap</w:t>
      </w:r>
      <w:r w:rsidRPr="00D7615F">
        <w:t>ping spectrum. The MT Cell-2 ne</w:t>
      </w:r>
      <w:r w:rsidRPr="00B32B64">
        <w:t>eds to monitor two DCI format 2_5 indicators.</w:t>
      </w:r>
    </w:p>
    <w:p w14:paraId="094C58DD" w14:textId="77777777" w:rsidR="00125829" w:rsidRPr="0036208A" w:rsidRDefault="00125829" w:rsidP="00496476">
      <w:pPr>
        <w:jc w:val="both"/>
        <w:rPr>
          <w:lang w:eastAsia="en-GB"/>
        </w:rPr>
      </w:pPr>
    </w:p>
    <w:p w14:paraId="1C86EF71" w14:textId="77777777" w:rsidR="00125829" w:rsidRPr="00D75B25" w:rsidRDefault="00125829" w:rsidP="00496476">
      <w:pPr>
        <w:pStyle w:val="Observation"/>
        <w:spacing w:after="160"/>
        <w:rPr>
          <w:sz w:val="20"/>
          <w:szCs w:val="20"/>
        </w:rPr>
      </w:pPr>
      <w:bookmarkStart w:id="142" w:name="_Toc59105100"/>
      <w:bookmarkStart w:id="143" w:name="_Toc61903471"/>
      <w:r w:rsidRPr="00D75B25">
        <w:rPr>
          <w:sz w:val="20"/>
          <w:szCs w:val="20"/>
        </w:rPr>
        <w:t xml:space="preserve">For inter-carrier DC, multiple parent nodes </w:t>
      </w:r>
      <w:r w:rsidR="007E67FD" w:rsidRPr="00D75B25">
        <w:rPr>
          <w:sz w:val="20"/>
          <w:szCs w:val="20"/>
        </w:rPr>
        <w:t xml:space="preserve">can </w:t>
      </w:r>
      <w:r w:rsidR="00630F37" w:rsidRPr="00D75B25">
        <w:rPr>
          <w:sz w:val="20"/>
          <w:szCs w:val="20"/>
        </w:rPr>
        <w:t xml:space="preserve">signal DCI 2_5 to the IAB-MT independently, </w:t>
      </w:r>
      <w:r w:rsidRPr="00D75B25">
        <w:rPr>
          <w:sz w:val="20"/>
          <w:szCs w:val="20"/>
        </w:rPr>
        <w:t xml:space="preserve">with respect to </w:t>
      </w:r>
      <w:r w:rsidR="00630F37" w:rsidRPr="00D75B25">
        <w:rPr>
          <w:sz w:val="20"/>
          <w:szCs w:val="20"/>
        </w:rPr>
        <w:t>the same IAB-DU cell.</w:t>
      </w:r>
      <w:bookmarkEnd w:id="142"/>
      <w:bookmarkEnd w:id="143"/>
    </w:p>
    <w:p w14:paraId="325536B2" w14:textId="73C0D33B" w:rsidR="00125829" w:rsidRPr="00D75B25" w:rsidRDefault="00125829" w:rsidP="00AF527F">
      <w:pPr>
        <w:pStyle w:val="Observation"/>
        <w:rPr>
          <w:sz w:val="20"/>
          <w:szCs w:val="20"/>
        </w:rPr>
      </w:pPr>
      <w:bookmarkStart w:id="144" w:name="_Toc59105101"/>
      <w:bookmarkStart w:id="145" w:name="_Toc61903472"/>
      <w:r w:rsidRPr="00D75B25">
        <w:rPr>
          <w:sz w:val="20"/>
          <w:szCs w:val="20"/>
        </w:rPr>
        <w:t>Availably indication for the dual-parent scenario is not</w:t>
      </w:r>
      <w:r w:rsidR="00E46BCB" w:rsidRPr="00D75B25">
        <w:rPr>
          <w:sz w:val="20"/>
          <w:szCs w:val="20"/>
        </w:rPr>
        <w:t xml:space="preserve"> </w:t>
      </w:r>
      <w:r w:rsidRPr="00D75B25">
        <w:rPr>
          <w:sz w:val="20"/>
          <w:szCs w:val="20"/>
        </w:rPr>
        <w:t>different from the single parent scenario.</w:t>
      </w:r>
      <w:bookmarkEnd w:id="144"/>
      <w:bookmarkEnd w:id="145"/>
      <w:r w:rsidRPr="00D75B25">
        <w:rPr>
          <w:sz w:val="20"/>
          <w:szCs w:val="20"/>
        </w:rPr>
        <w:t xml:space="preserve"> </w:t>
      </w:r>
    </w:p>
    <w:p w14:paraId="5601A337" w14:textId="5C116250" w:rsidR="001B443A" w:rsidRPr="008027BF" w:rsidRDefault="008027BF" w:rsidP="00496476">
      <w:pPr>
        <w:jc w:val="both"/>
        <w:rPr>
          <w:rFonts w:ascii="Arial" w:hAnsi="Arial" w:cs="Arial"/>
          <w:sz w:val="20"/>
          <w:szCs w:val="20"/>
        </w:rPr>
      </w:pPr>
      <w:r>
        <w:rPr>
          <w:rFonts w:ascii="Arial" w:hAnsi="Arial" w:cs="Arial"/>
          <w:sz w:val="20"/>
          <w:szCs w:val="20"/>
        </w:rPr>
        <w:t>I</w:t>
      </w:r>
      <w:r w:rsidR="00125829" w:rsidRPr="0036208A">
        <w:rPr>
          <w:rFonts w:ascii="Arial" w:hAnsi="Arial" w:cs="Arial"/>
          <w:sz w:val="20"/>
          <w:szCs w:val="20"/>
        </w:rPr>
        <w:t xml:space="preserve">f </w:t>
      </w:r>
      <w:r w:rsidR="00E46BCB" w:rsidRPr="0036208A">
        <w:rPr>
          <w:rFonts w:ascii="Arial" w:hAnsi="Arial" w:cs="Arial"/>
          <w:sz w:val="20"/>
          <w:szCs w:val="20"/>
        </w:rPr>
        <w:t>a</w:t>
      </w:r>
      <w:r w:rsidR="00125829" w:rsidRPr="0036208A">
        <w:rPr>
          <w:rFonts w:ascii="Arial" w:hAnsi="Arial" w:cs="Arial"/>
          <w:sz w:val="20"/>
          <w:szCs w:val="20"/>
        </w:rPr>
        <w:t xml:space="preserve"> certain IAB-DU resource is configured as Soft with respect to multiple IAB-MT CCs, which correspond to different parent nodes, it is likely that the IAB-MT receives more than one DCI 2_5 indicating the availability of the same IAB-DU resource. In this case, </w:t>
      </w:r>
      <w:r>
        <w:rPr>
          <w:rFonts w:ascii="Arial" w:hAnsi="Arial" w:cs="Arial"/>
          <w:sz w:val="20"/>
          <w:szCs w:val="20"/>
        </w:rPr>
        <w:t xml:space="preserve">the </w:t>
      </w:r>
      <w:r w:rsidR="00125829" w:rsidRPr="0036208A">
        <w:rPr>
          <w:rFonts w:ascii="Arial" w:hAnsi="Arial" w:cs="Arial"/>
          <w:sz w:val="20"/>
          <w:szCs w:val="20"/>
        </w:rPr>
        <w:t xml:space="preserve">IAB-DU should </w:t>
      </w:r>
      <w:r w:rsidR="001B443A" w:rsidRPr="0036208A">
        <w:rPr>
          <w:rFonts w:ascii="Arial" w:hAnsi="Arial" w:cs="Arial"/>
          <w:sz w:val="20"/>
          <w:szCs w:val="20"/>
        </w:rPr>
        <w:t xml:space="preserve">consider all received </w:t>
      </w:r>
      <w:r w:rsidR="00125829" w:rsidRPr="0036208A">
        <w:rPr>
          <w:rFonts w:ascii="Arial" w:hAnsi="Arial" w:cs="Arial"/>
          <w:sz w:val="20"/>
          <w:szCs w:val="20"/>
        </w:rPr>
        <w:t xml:space="preserve">resource availability indications to determine the IAB-DU Soft resource availability </w:t>
      </w:r>
      <w:r w:rsidR="00E46BCB" w:rsidRPr="0036208A">
        <w:rPr>
          <w:rFonts w:ascii="Arial" w:hAnsi="Arial" w:cs="Arial"/>
          <w:sz w:val="20"/>
          <w:szCs w:val="20"/>
        </w:rPr>
        <w:t xml:space="preserve">as </w:t>
      </w:r>
      <w:r w:rsidR="00125829" w:rsidRPr="0036208A">
        <w:rPr>
          <w:rFonts w:ascii="Arial" w:hAnsi="Arial" w:cs="Arial"/>
          <w:sz w:val="20"/>
          <w:szCs w:val="20"/>
        </w:rPr>
        <w:t>DL/UL/Flexible</w:t>
      </w:r>
      <w:r w:rsidR="00E46BCB" w:rsidRPr="0036208A">
        <w:rPr>
          <w:rFonts w:ascii="Arial" w:hAnsi="Arial" w:cs="Arial"/>
          <w:sz w:val="20"/>
          <w:szCs w:val="20"/>
        </w:rPr>
        <w:t xml:space="preserve"> resource</w:t>
      </w:r>
      <w:r w:rsidR="00125829" w:rsidRPr="0036208A">
        <w:rPr>
          <w:rFonts w:ascii="Arial" w:hAnsi="Arial" w:cs="Arial"/>
          <w:sz w:val="20"/>
          <w:szCs w:val="20"/>
        </w:rPr>
        <w:t xml:space="preserve">. In the example of </w:t>
      </w:r>
      <w:r w:rsidR="00887B5E" w:rsidRPr="0036208A">
        <w:rPr>
          <w:rFonts w:ascii="Arial" w:hAnsi="Arial" w:cs="Arial"/>
          <w:sz w:val="20"/>
          <w:szCs w:val="20"/>
        </w:rPr>
        <w:fldChar w:fldCharType="begin"/>
      </w:r>
      <w:r w:rsidR="00887B5E" w:rsidRPr="0036208A">
        <w:rPr>
          <w:rFonts w:ascii="Arial" w:hAnsi="Arial" w:cs="Arial"/>
          <w:sz w:val="20"/>
          <w:szCs w:val="20"/>
        </w:rPr>
        <w:instrText xml:space="preserve"> REF _Ref61363830 \h </w:instrText>
      </w:r>
      <w:r w:rsidR="00434F5F" w:rsidRPr="0036208A">
        <w:rPr>
          <w:rFonts w:ascii="Arial" w:hAnsi="Arial" w:cs="Arial"/>
          <w:sz w:val="20"/>
          <w:szCs w:val="20"/>
        </w:rPr>
        <w:instrText xml:space="preserve"> \* MERGEFORMAT </w:instrText>
      </w:r>
      <w:r w:rsidR="00887B5E" w:rsidRPr="0036208A">
        <w:rPr>
          <w:rFonts w:ascii="Arial" w:hAnsi="Arial" w:cs="Arial"/>
          <w:sz w:val="20"/>
          <w:szCs w:val="20"/>
        </w:rPr>
      </w:r>
      <w:r w:rsidR="00887B5E" w:rsidRPr="0036208A">
        <w:rPr>
          <w:rFonts w:ascii="Arial" w:hAnsi="Arial" w:cs="Arial"/>
          <w:sz w:val="20"/>
          <w:szCs w:val="20"/>
        </w:rPr>
        <w:fldChar w:fldCharType="separate"/>
      </w:r>
      <w:r w:rsidR="009C0672" w:rsidRPr="00F25871">
        <w:t xml:space="preserve">Figure </w:t>
      </w:r>
      <w:r w:rsidR="009C0672">
        <w:t>3</w:t>
      </w:r>
      <w:r w:rsidR="00887B5E" w:rsidRPr="0036208A">
        <w:rPr>
          <w:rFonts w:ascii="Arial" w:hAnsi="Arial" w:cs="Arial"/>
          <w:sz w:val="20"/>
          <w:szCs w:val="20"/>
        </w:rPr>
        <w:fldChar w:fldCharType="end"/>
      </w:r>
      <w:r w:rsidR="00125829" w:rsidRPr="0036208A">
        <w:rPr>
          <w:rFonts w:ascii="Arial" w:hAnsi="Arial" w:cs="Arial"/>
          <w:sz w:val="20"/>
          <w:szCs w:val="20"/>
        </w:rPr>
        <w:t xml:space="preserve">, to determine the availability of the </w:t>
      </w:r>
      <w:r w:rsidR="00C71F0A" w:rsidRPr="0036208A">
        <w:rPr>
          <w:rFonts w:ascii="Arial" w:hAnsi="Arial" w:cs="Arial"/>
          <w:sz w:val="20"/>
          <w:szCs w:val="20"/>
        </w:rPr>
        <w:t>S</w:t>
      </w:r>
      <w:r w:rsidR="00125829" w:rsidRPr="0036208A">
        <w:rPr>
          <w:rFonts w:ascii="Arial" w:hAnsi="Arial" w:cs="Arial"/>
          <w:sz w:val="20"/>
          <w:szCs w:val="20"/>
        </w:rPr>
        <w:t xml:space="preserve">oft DU resource of Cell-1, the IAB-node should take </w:t>
      </w:r>
      <w:r w:rsidR="001B39B3" w:rsidRPr="0036208A">
        <w:rPr>
          <w:rFonts w:ascii="Arial" w:hAnsi="Arial" w:cs="Arial"/>
          <w:sz w:val="20"/>
          <w:szCs w:val="20"/>
        </w:rPr>
        <w:t>into consideration of</w:t>
      </w:r>
      <w:r w:rsidR="00125829" w:rsidRPr="0036208A">
        <w:rPr>
          <w:rFonts w:ascii="Arial" w:hAnsi="Arial" w:cs="Arial"/>
          <w:sz w:val="20"/>
          <w:szCs w:val="20"/>
        </w:rPr>
        <w:t xml:space="preserve"> the two availability indicators, {MT Cell-1 (MCG), DU Cell-1} and {MT Cell-2 (SCG), DU Cell-1}. </w:t>
      </w:r>
    </w:p>
    <w:p w14:paraId="6D443B6F" w14:textId="75A4FCA4" w:rsidR="001B443A" w:rsidRPr="00D75B25" w:rsidRDefault="001B443A" w:rsidP="001B5233">
      <w:pPr>
        <w:pStyle w:val="Proposal"/>
        <w:rPr>
          <w:sz w:val="20"/>
          <w:szCs w:val="20"/>
        </w:rPr>
      </w:pPr>
      <w:bookmarkStart w:id="146" w:name="_Toc61903488"/>
      <w:r w:rsidRPr="00D75B25">
        <w:rPr>
          <w:sz w:val="20"/>
          <w:szCs w:val="20"/>
        </w:rPr>
        <w:t>It is assumed that to determine the availability of the per-cell DU soft resource by explicit indication, the IAB node should take into consideration of all received DCI format 2_5 from collocated MT carriers associated to the same DU cell.</w:t>
      </w:r>
      <w:bookmarkEnd w:id="146"/>
    </w:p>
    <w:p w14:paraId="52A7BCD6" w14:textId="30D83E50" w:rsidR="006E1EF5" w:rsidRPr="0036208A" w:rsidRDefault="001B443A" w:rsidP="00496476">
      <w:pPr>
        <w:jc w:val="both"/>
        <w:rPr>
          <w:rFonts w:ascii="Arial" w:hAnsi="Arial" w:cs="Arial"/>
          <w:sz w:val="20"/>
          <w:szCs w:val="20"/>
        </w:rPr>
      </w:pPr>
      <w:r w:rsidRPr="0036208A">
        <w:rPr>
          <w:rFonts w:ascii="Arial" w:hAnsi="Arial" w:cs="Arial"/>
          <w:sz w:val="20"/>
          <w:szCs w:val="20"/>
        </w:rPr>
        <w:t xml:space="preserve">In other cases, the IAB-DU needs to (additionally) rely on implicit indication considering both parent links to determine its Soft resource availability. As a result, the IAB-DU can use the Soft resource for DL transmission if it has either </w:t>
      </w:r>
      <w:r w:rsidRPr="001C4D41">
        <w:rPr>
          <w:rFonts w:ascii="Arial" w:hAnsi="Arial" w:cs="Arial"/>
          <w:sz w:val="20"/>
          <w:szCs w:val="20"/>
        </w:rPr>
        <w:t>implicit indication</w:t>
      </w:r>
      <w:r w:rsidRPr="0036208A">
        <w:rPr>
          <w:rFonts w:ascii="Arial" w:hAnsi="Arial" w:cs="Arial"/>
          <w:sz w:val="20"/>
          <w:szCs w:val="20"/>
        </w:rPr>
        <w:t xml:space="preserve"> or DCI 2_5 from both parent nodes indicating DL soft resource available. The same applies equally for DL, UL and Flexible resource types configured at the IAB-DU.</w:t>
      </w:r>
    </w:p>
    <w:p w14:paraId="533B2F6B" w14:textId="2226F0D1" w:rsidR="00F44C08" w:rsidRPr="00D75B25" w:rsidRDefault="001B443A" w:rsidP="00496476">
      <w:pPr>
        <w:pStyle w:val="Observation"/>
        <w:rPr>
          <w:sz w:val="20"/>
          <w:szCs w:val="20"/>
        </w:rPr>
      </w:pPr>
      <w:bookmarkStart w:id="147" w:name="_Toc61903473"/>
      <w:r w:rsidRPr="00D75B25">
        <w:rPr>
          <w:sz w:val="20"/>
          <w:szCs w:val="20"/>
        </w:rPr>
        <w:t>If the same IAB-DU resource is configured as Soft with respect to multiple IAB-MT CCs served by different parent nodes, the IAB-DU resource is available for DL/UL/Flexible given either implicit indication or DCI 2_5 from both parent node indicating</w:t>
      </w:r>
      <w:r w:rsidR="00CD4117" w:rsidRPr="00D75B25">
        <w:rPr>
          <w:sz w:val="20"/>
          <w:szCs w:val="20"/>
        </w:rPr>
        <w:t xml:space="preserve"> the</w:t>
      </w:r>
      <w:r w:rsidRPr="00D75B25">
        <w:rPr>
          <w:sz w:val="20"/>
          <w:szCs w:val="20"/>
        </w:rPr>
        <w:t xml:space="preserve"> DL/UL/Flexible resource as available.</w:t>
      </w:r>
      <w:bookmarkEnd w:id="147"/>
    </w:p>
    <w:p w14:paraId="74EFEBFF" w14:textId="15093FBA" w:rsidR="0047713E" w:rsidRPr="001B5233" w:rsidRDefault="00DB7CA9" w:rsidP="00496476">
      <w:pPr>
        <w:pStyle w:val="Heading2"/>
        <w:jc w:val="both"/>
        <w:rPr>
          <w:lang w:val="en-US"/>
        </w:rPr>
      </w:pPr>
      <w:r w:rsidRPr="0036208A">
        <w:rPr>
          <w:lang w:val="en-US"/>
        </w:rPr>
        <w:t xml:space="preserve">TDD pattern alignment </w:t>
      </w:r>
    </w:p>
    <w:p w14:paraId="629FB00B" w14:textId="0DFC9654" w:rsidR="001B443A" w:rsidRPr="001B5233" w:rsidRDefault="007304DF" w:rsidP="001B5233">
      <w:pPr>
        <w:jc w:val="both"/>
        <w:rPr>
          <w:rFonts w:ascii="Arial" w:hAnsi="Arial" w:cs="Arial"/>
          <w:sz w:val="20"/>
          <w:szCs w:val="20"/>
        </w:rPr>
      </w:pPr>
      <w:r w:rsidRPr="0036208A">
        <w:rPr>
          <w:rFonts w:ascii="Arial" w:hAnsi="Arial" w:cs="Arial"/>
          <w:sz w:val="20"/>
          <w:szCs w:val="20"/>
        </w:rPr>
        <w:t xml:space="preserve">In the </w:t>
      </w:r>
      <w:r w:rsidR="0006201D" w:rsidRPr="0036208A">
        <w:rPr>
          <w:rFonts w:ascii="Arial" w:hAnsi="Arial" w:cs="Arial"/>
          <w:sz w:val="20"/>
          <w:szCs w:val="20"/>
        </w:rPr>
        <w:t>i</w:t>
      </w:r>
      <w:r w:rsidRPr="0036208A">
        <w:rPr>
          <w:rFonts w:ascii="Arial" w:hAnsi="Arial" w:cs="Arial"/>
          <w:sz w:val="20"/>
          <w:szCs w:val="20"/>
        </w:rPr>
        <w:t xml:space="preserve">ntra-band </w:t>
      </w:r>
      <w:r w:rsidR="0006201D" w:rsidRPr="0036208A">
        <w:rPr>
          <w:rFonts w:ascii="Arial" w:hAnsi="Arial" w:cs="Arial"/>
          <w:sz w:val="20"/>
          <w:szCs w:val="20"/>
        </w:rPr>
        <w:t>i</w:t>
      </w:r>
      <w:r w:rsidRPr="0036208A">
        <w:rPr>
          <w:rFonts w:ascii="Arial" w:hAnsi="Arial" w:cs="Arial"/>
          <w:sz w:val="20"/>
          <w:szCs w:val="20"/>
        </w:rPr>
        <w:t xml:space="preserve">nter-carrier DC case, if the two carriers of the MCG and SCG links are too close </w:t>
      </w:r>
      <w:r w:rsidR="00F643CA" w:rsidRPr="0036208A">
        <w:rPr>
          <w:rFonts w:ascii="Arial" w:hAnsi="Arial" w:cs="Arial"/>
          <w:sz w:val="20"/>
          <w:szCs w:val="20"/>
        </w:rPr>
        <w:t xml:space="preserve">for </w:t>
      </w:r>
      <w:r w:rsidRPr="0036208A">
        <w:rPr>
          <w:rFonts w:ascii="Arial" w:hAnsi="Arial" w:cs="Arial"/>
          <w:sz w:val="20"/>
          <w:szCs w:val="20"/>
        </w:rPr>
        <w:t xml:space="preserve">the IAB-MT to </w:t>
      </w:r>
      <w:r w:rsidR="00F643CA" w:rsidRPr="0036208A">
        <w:rPr>
          <w:rFonts w:ascii="Arial" w:hAnsi="Arial" w:cs="Arial"/>
          <w:sz w:val="20"/>
          <w:szCs w:val="20"/>
        </w:rPr>
        <w:t xml:space="preserve">operate </w:t>
      </w:r>
      <w:r w:rsidRPr="0036208A">
        <w:rPr>
          <w:rFonts w:ascii="Arial" w:hAnsi="Arial" w:cs="Arial"/>
          <w:sz w:val="20"/>
          <w:szCs w:val="20"/>
        </w:rPr>
        <w:t>them</w:t>
      </w:r>
      <w:r w:rsidR="00F643CA" w:rsidRPr="0036208A">
        <w:rPr>
          <w:rFonts w:ascii="Arial" w:hAnsi="Arial" w:cs="Arial"/>
          <w:sz w:val="20"/>
          <w:szCs w:val="20"/>
        </w:rPr>
        <w:t xml:space="preserve"> </w:t>
      </w:r>
      <w:r w:rsidR="00307560" w:rsidRPr="0036208A">
        <w:rPr>
          <w:rFonts w:ascii="Arial" w:hAnsi="Arial" w:cs="Arial"/>
          <w:sz w:val="20"/>
          <w:szCs w:val="20"/>
        </w:rPr>
        <w:t>independently</w:t>
      </w:r>
      <w:r w:rsidRPr="0036208A">
        <w:rPr>
          <w:rFonts w:ascii="Arial" w:hAnsi="Arial" w:cs="Arial"/>
          <w:sz w:val="20"/>
          <w:szCs w:val="20"/>
        </w:rPr>
        <w:t xml:space="preserve">, the IAB-MT </w:t>
      </w:r>
      <w:r w:rsidR="00660091" w:rsidRPr="0036208A">
        <w:rPr>
          <w:rFonts w:ascii="Arial" w:hAnsi="Arial" w:cs="Arial"/>
          <w:sz w:val="20"/>
          <w:szCs w:val="20"/>
        </w:rPr>
        <w:t>is not able to</w:t>
      </w:r>
      <w:r w:rsidRPr="0036208A">
        <w:rPr>
          <w:rFonts w:ascii="Arial" w:hAnsi="Arial" w:cs="Arial"/>
          <w:sz w:val="20"/>
          <w:szCs w:val="20"/>
        </w:rPr>
        <w:t xml:space="preserve"> support asynchronous TDD patterns, i.e., the MCG and SCG links </w:t>
      </w:r>
      <w:r w:rsidR="00F13EE1" w:rsidRPr="0036208A">
        <w:rPr>
          <w:rFonts w:ascii="Arial" w:hAnsi="Arial" w:cs="Arial"/>
          <w:sz w:val="20"/>
          <w:szCs w:val="20"/>
        </w:rPr>
        <w:t xml:space="preserve">can </w:t>
      </w:r>
      <w:r w:rsidRPr="0036208A">
        <w:rPr>
          <w:rFonts w:ascii="Arial" w:hAnsi="Arial" w:cs="Arial"/>
          <w:sz w:val="20"/>
          <w:szCs w:val="20"/>
        </w:rPr>
        <w:t xml:space="preserve">have different DL/UL </w:t>
      </w:r>
      <w:r w:rsidR="00660091" w:rsidRPr="0036208A">
        <w:rPr>
          <w:rFonts w:ascii="Arial" w:hAnsi="Arial" w:cs="Arial"/>
          <w:sz w:val="20"/>
          <w:szCs w:val="20"/>
        </w:rPr>
        <w:t>transmission direction</w:t>
      </w:r>
      <w:r w:rsidRPr="0036208A">
        <w:rPr>
          <w:rFonts w:ascii="Arial" w:hAnsi="Arial" w:cs="Arial"/>
          <w:sz w:val="20"/>
          <w:szCs w:val="20"/>
        </w:rPr>
        <w:t>. In Rel-16 specification, the handling of transmission direction collision was specified for UE behavior in half duplex CA operation</w:t>
      </w:r>
      <w:r w:rsidR="00660091" w:rsidRPr="0036208A">
        <w:rPr>
          <w:rFonts w:ascii="Arial" w:hAnsi="Arial" w:cs="Arial"/>
          <w:sz w:val="20"/>
          <w:szCs w:val="20"/>
        </w:rPr>
        <w:t xml:space="preserve"> </w:t>
      </w:r>
      <w:r w:rsidR="00660091" w:rsidRPr="0036208A">
        <w:rPr>
          <w:rFonts w:ascii="Arial" w:hAnsi="Arial" w:cs="Arial"/>
          <w:sz w:val="20"/>
          <w:szCs w:val="20"/>
        </w:rPr>
        <w:fldChar w:fldCharType="begin"/>
      </w:r>
      <w:r w:rsidR="00660091" w:rsidRPr="0036208A">
        <w:rPr>
          <w:rFonts w:ascii="Arial" w:hAnsi="Arial" w:cs="Arial"/>
          <w:sz w:val="20"/>
          <w:szCs w:val="20"/>
        </w:rPr>
        <w:instrText xml:space="preserve"> REF _Ref59109719 \r \h </w:instrText>
      </w:r>
      <w:r w:rsidR="006E1EF5" w:rsidRPr="0036208A">
        <w:rPr>
          <w:rFonts w:ascii="Arial" w:hAnsi="Arial" w:cs="Arial"/>
          <w:sz w:val="20"/>
          <w:szCs w:val="20"/>
        </w:rPr>
        <w:instrText xml:space="preserve"> \* MERGEFORMAT </w:instrText>
      </w:r>
      <w:r w:rsidR="00660091" w:rsidRPr="0036208A">
        <w:rPr>
          <w:rFonts w:ascii="Arial" w:hAnsi="Arial" w:cs="Arial"/>
          <w:sz w:val="20"/>
          <w:szCs w:val="20"/>
        </w:rPr>
      </w:r>
      <w:r w:rsidR="00660091" w:rsidRPr="0036208A">
        <w:rPr>
          <w:rFonts w:ascii="Arial" w:hAnsi="Arial" w:cs="Arial"/>
          <w:sz w:val="20"/>
          <w:szCs w:val="20"/>
        </w:rPr>
        <w:fldChar w:fldCharType="separate"/>
      </w:r>
      <w:r w:rsidR="009C0672">
        <w:rPr>
          <w:rFonts w:ascii="Arial" w:hAnsi="Arial" w:cs="Arial"/>
          <w:sz w:val="20"/>
          <w:szCs w:val="20"/>
        </w:rPr>
        <w:t>[9]</w:t>
      </w:r>
      <w:r w:rsidR="00660091" w:rsidRPr="0036208A">
        <w:rPr>
          <w:rFonts w:ascii="Arial" w:hAnsi="Arial" w:cs="Arial"/>
          <w:sz w:val="20"/>
          <w:szCs w:val="20"/>
        </w:rPr>
        <w:fldChar w:fldCharType="end"/>
      </w:r>
      <w:r w:rsidR="00660091" w:rsidRPr="0036208A">
        <w:rPr>
          <w:rFonts w:ascii="Arial" w:hAnsi="Arial" w:cs="Arial"/>
          <w:sz w:val="20"/>
          <w:szCs w:val="20"/>
        </w:rPr>
        <w:fldChar w:fldCharType="begin"/>
      </w:r>
      <w:r w:rsidR="00660091" w:rsidRPr="0036208A">
        <w:rPr>
          <w:rFonts w:ascii="Arial" w:hAnsi="Arial" w:cs="Arial"/>
          <w:sz w:val="20"/>
          <w:szCs w:val="20"/>
        </w:rPr>
        <w:instrText xml:space="preserve"> REF _Ref59109799 \r \h </w:instrText>
      </w:r>
      <w:r w:rsidR="006E1EF5" w:rsidRPr="0036208A">
        <w:rPr>
          <w:rFonts w:ascii="Arial" w:hAnsi="Arial" w:cs="Arial"/>
          <w:sz w:val="20"/>
          <w:szCs w:val="20"/>
        </w:rPr>
        <w:instrText xml:space="preserve"> \* MERGEFORMAT </w:instrText>
      </w:r>
      <w:r w:rsidR="00660091" w:rsidRPr="0036208A">
        <w:rPr>
          <w:rFonts w:ascii="Arial" w:hAnsi="Arial" w:cs="Arial"/>
          <w:sz w:val="20"/>
          <w:szCs w:val="20"/>
        </w:rPr>
      </w:r>
      <w:r w:rsidR="00660091" w:rsidRPr="0036208A">
        <w:rPr>
          <w:rFonts w:ascii="Arial" w:hAnsi="Arial" w:cs="Arial"/>
          <w:sz w:val="20"/>
          <w:szCs w:val="20"/>
        </w:rPr>
        <w:fldChar w:fldCharType="separate"/>
      </w:r>
      <w:r w:rsidR="009C0672">
        <w:rPr>
          <w:rFonts w:ascii="Arial" w:hAnsi="Arial" w:cs="Arial"/>
          <w:sz w:val="20"/>
          <w:szCs w:val="20"/>
        </w:rPr>
        <w:t>[10]</w:t>
      </w:r>
      <w:r w:rsidR="00660091" w:rsidRPr="0036208A">
        <w:rPr>
          <w:rFonts w:ascii="Arial" w:hAnsi="Arial" w:cs="Arial"/>
          <w:sz w:val="20"/>
          <w:szCs w:val="20"/>
        </w:rPr>
        <w:fldChar w:fldCharType="end"/>
      </w:r>
      <w:r w:rsidRPr="0036208A">
        <w:rPr>
          <w:rFonts w:ascii="Arial" w:hAnsi="Arial" w:cs="Arial"/>
          <w:sz w:val="20"/>
          <w:szCs w:val="20"/>
        </w:rPr>
        <w:t>. We think</w:t>
      </w:r>
      <w:r w:rsidR="00A116AB" w:rsidRPr="0036208A">
        <w:rPr>
          <w:rFonts w:ascii="Arial" w:hAnsi="Arial" w:cs="Arial"/>
          <w:sz w:val="20"/>
          <w:szCs w:val="20"/>
        </w:rPr>
        <w:t xml:space="preserve"> from</w:t>
      </w:r>
      <w:r w:rsidRPr="0036208A">
        <w:rPr>
          <w:rFonts w:ascii="Arial" w:hAnsi="Arial" w:cs="Arial"/>
          <w:sz w:val="20"/>
          <w:szCs w:val="20"/>
        </w:rPr>
        <w:t xml:space="preserve"> </w:t>
      </w:r>
      <w:r w:rsidR="00A116AB" w:rsidRPr="0036208A">
        <w:rPr>
          <w:rFonts w:ascii="Arial" w:hAnsi="Arial" w:cs="Arial"/>
          <w:sz w:val="20"/>
          <w:szCs w:val="20"/>
        </w:rPr>
        <w:t xml:space="preserve">the point of view of </w:t>
      </w:r>
      <w:r w:rsidRPr="0036208A">
        <w:rPr>
          <w:rFonts w:ascii="Arial" w:hAnsi="Arial" w:cs="Arial"/>
          <w:sz w:val="20"/>
          <w:szCs w:val="20"/>
        </w:rPr>
        <w:t xml:space="preserve">RF </w:t>
      </w:r>
      <w:r w:rsidR="00A116AB" w:rsidRPr="0036208A">
        <w:rPr>
          <w:rFonts w:ascii="Arial" w:hAnsi="Arial" w:cs="Arial"/>
          <w:sz w:val="20"/>
          <w:szCs w:val="20"/>
        </w:rPr>
        <w:t>properties</w:t>
      </w:r>
      <w:r w:rsidRPr="0036208A">
        <w:rPr>
          <w:rFonts w:ascii="Arial" w:hAnsi="Arial" w:cs="Arial"/>
          <w:sz w:val="20"/>
          <w:szCs w:val="20"/>
        </w:rPr>
        <w:t xml:space="preserve">, </w:t>
      </w:r>
      <w:r w:rsidR="0006201D" w:rsidRPr="0036208A">
        <w:rPr>
          <w:rFonts w:ascii="Arial" w:hAnsi="Arial" w:cs="Arial"/>
          <w:sz w:val="20"/>
          <w:szCs w:val="20"/>
        </w:rPr>
        <w:t>i</w:t>
      </w:r>
      <w:r w:rsidRPr="0036208A">
        <w:rPr>
          <w:rFonts w:ascii="Arial" w:hAnsi="Arial" w:cs="Arial"/>
          <w:sz w:val="20"/>
          <w:szCs w:val="20"/>
        </w:rPr>
        <w:t>nter-carrier</w:t>
      </w:r>
      <w:r w:rsidR="009377DC" w:rsidRPr="0036208A">
        <w:rPr>
          <w:rFonts w:ascii="Arial" w:hAnsi="Arial" w:cs="Arial"/>
          <w:sz w:val="20"/>
          <w:szCs w:val="20"/>
        </w:rPr>
        <w:t xml:space="preserve"> (</w:t>
      </w:r>
      <w:r w:rsidR="0006201D" w:rsidRPr="0036208A">
        <w:rPr>
          <w:rFonts w:ascii="Arial" w:hAnsi="Arial" w:cs="Arial"/>
          <w:sz w:val="20"/>
          <w:szCs w:val="20"/>
        </w:rPr>
        <w:t>i</w:t>
      </w:r>
      <w:r w:rsidR="009377DC" w:rsidRPr="0036208A">
        <w:rPr>
          <w:rFonts w:ascii="Arial" w:hAnsi="Arial" w:cs="Arial"/>
          <w:sz w:val="20"/>
          <w:szCs w:val="20"/>
        </w:rPr>
        <w:t>nter-</w:t>
      </w:r>
      <w:r w:rsidR="0006201D" w:rsidRPr="0036208A">
        <w:rPr>
          <w:rFonts w:ascii="Arial" w:hAnsi="Arial" w:cs="Arial"/>
          <w:sz w:val="20"/>
          <w:szCs w:val="20"/>
        </w:rPr>
        <w:t>b</w:t>
      </w:r>
      <w:r w:rsidR="009377DC" w:rsidRPr="0036208A">
        <w:rPr>
          <w:rFonts w:ascii="Arial" w:hAnsi="Arial" w:cs="Arial"/>
          <w:sz w:val="20"/>
          <w:szCs w:val="20"/>
        </w:rPr>
        <w:t xml:space="preserve">and and </w:t>
      </w:r>
      <w:r w:rsidR="0006201D" w:rsidRPr="0036208A">
        <w:rPr>
          <w:rFonts w:ascii="Arial" w:hAnsi="Arial" w:cs="Arial"/>
          <w:sz w:val="20"/>
          <w:szCs w:val="20"/>
        </w:rPr>
        <w:t>i</w:t>
      </w:r>
      <w:r w:rsidR="009377DC" w:rsidRPr="0036208A">
        <w:rPr>
          <w:rFonts w:ascii="Arial" w:hAnsi="Arial" w:cs="Arial"/>
          <w:sz w:val="20"/>
          <w:szCs w:val="20"/>
        </w:rPr>
        <w:t>ntra-</w:t>
      </w:r>
      <w:r w:rsidR="0006201D" w:rsidRPr="0036208A">
        <w:rPr>
          <w:rFonts w:ascii="Arial" w:hAnsi="Arial" w:cs="Arial"/>
          <w:sz w:val="20"/>
          <w:szCs w:val="20"/>
        </w:rPr>
        <w:t>b</w:t>
      </w:r>
      <w:r w:rsidR="009377DC" w:rsidRPr="0036208A">
        <w:rPr>
          <w:rFonts w:ascii="Arial" w:hAnsi="Arial" w:cs="Arial"/>
          <w:sz w:val="20"/>
          <w:szCs w:val="20"/>
        </w:rPr>
        <w:t>and)</w:t>
      </w:r>
      <w:r w:rsidRPr="0036208A">
        <w:rPr>
          <w:rFonts w:ascii="Arial" w:hAnsi="Arial" w:cs="Arial"/>
          <w:sz w:val="20"/>
          <w:szCs w:val="20"/>
        </w:rPr>
        <w:t xml:space="preserve"> DC is</w:t>
      </w:r>
      <w:r w:rsidR="005A2E50" w:rsidRPr="0036208A">
        <w:rPr>
          <w:rFonts w:ascii="Arial" w:hAnsi="Arial" w:cs="Arial"/>
          <w:sz w:val="20"/>
          <w:szCs w:val="20"/>
        </w:rPr>
        <w:t xml:space="preserve"> akin to</w:t>
      </w:r>
      <w:r w:rsidRPr="0036208A">
        <w:rPr>
          <w:rFonts w:ascii="Arial" w:hAnsi="Arial" w:cs="Arial"/>
          <w:sz w:val="20"/>
          <w:szCs w:val="20"/>
        </w:rPr>
        <w:t xml:space="preserve"> </w:t>
      </w:r>
      <w:r w:rsidR="0006201D" w:rsidRPr="0036208A">
        <w:rPr>
          <w:rFonts w:ascii="Arial" w:hAnsi="Arial" w:cs="Arial"/>
          <w:sz w:val="20"/>
          <w:szCs w:val="20"/>
        </w:rPr>
        <w:t>i</w:t>
      </w:r>
      <w:r w:rsidRPr="0036208A">
        <w:rPr>
          <w:rFonts w:ascii="Arial" w:hAnsi="Arial" w:cs="Arial"/>
          <w:sz w:val="20"/>
          <w:szCs w:val="20"/>
        </w:rPr>
        <w:t>nt</w:t>
      </w:r>
      <w:r w:rsidR="009377DC" w:rsidRPr="0036208A">
        <w:rPr>
          <w:rFonts w:ascii="Arial" w:hAnsi="Arial" w:cs="Arial"/>
          <w:sz w:val="20"/>
          <w:szCs w:val="20"/>
        </w:rPr>
        <w:t>er</w:t>
      </w:r>
      <w:r w:rsidRPr="0036208A">
        <w:rPr>
          <w:rFonts w:ascii="Arial" w:hAnsi="Arial" w:cs="Arial"/>
          <w:sz w:val="20"/>
          <w:szCs w:val="20"/>
        </w:rPr>
        <w:t>-band</w:t>
      </w:r>
      <w:r w:rsidR="009377DC" w:rsidRPr="0036208A">
        <w:rPr>
          <w:rFonts w:ascii="Arial" w:hAnsi="Arial" w:cs="Arial"/>
          <w:sz w:val="20"/>
          <w:szCs w:val="20"/>
        </w:rPr>
        <w:t>/</w:t>
      </w:r>
      <w:r w:rsidR="0006201D" w:rsidRPr="0036208A">
        <w:rPr>
          <w:rFonts w:ascii="Arial" w:hAnsi="Arial" w:cs="Arial"/>
          <w:sz w:val="20"/>
          <w:szCs w:val="20"/>
        </w:rPr>
        <w:t>i</w:t>
      </w:r>
      <w:r w:rsidR="009377DC" w:rsidRPr="0036208A">
        <w:rPr>
          <w:rFonts w:ascii="Arial" w:hAnsi="Arial" w:cs="Arial"/>
          <w:sz w:val="20"/>
          <w:szCs w:val="20"/>
        </w:rPr>
        <w:t>ntra-band</w:t>
      </w:r>
      <w:r w:rsidRPr="0036208A">
        <w:rPr>
          <w:rFonts w:ascii="Arial" w:hAnsi="Arial" w:cs="Arial"/>
          <w:sz w:val="20"/>
          <w:szCs w:val="20"/>
        </w:rPr>
        <w:t xml:space="preserve"> CA</w:t>
      </w:r>
      <w:r w:rsidR="00660091" w:rsidRPr="0036208A">
        <w:rPr>
          <w:rFonts w:ascii="Arial" w:hAnsi="Arial" w:cs="Arial"/>
          <w:sz w:val="20"/>
          <w:szCs w:val="20"/>
        </w:rPr>
        <w:t>, and</w:t>
      </w:r>
      <w:r w:rsidRPr="0036208A">
        <w:rPr>
          <w:rFonts w:ascii="Arial" w:hAnsi="Arial" w:cs="Arial"/>
          <w:sz w:val="20"/>
          <w:szCs w:val="20"/>
        </w:rPr>
        <w:t xml:space="preserve"> </w:t>
      </w:r>
      <w:r w:rsidR="00660091" w:rsidRPr="0036208A">
        <w:rPr>
          <w:rFonts w:ascii="Arial" w:hAnsi="Arial" w:cs="Arial"/>
          <w:sz w:val="20"/>
          <w:szCs w:val="20"/>
        </w:rPr>
        <w:t>t</w:t>
      </w:r>
      <w:r w:rsidRPr="0036208A">
        <w:rPr>
          <w:rFonts w:ascii="Arial" w:hAnsi="Arial" w:cs="Arial"/>
          <w:sz w:val="20"/>
          <w:szCs w:val="20"/>
        </w:rPr>
        <w:t xml:space="preserve">herefore </w:t>
      </w:r>
      <w:r w:rsidR="00F6403C">
        <w:rPr>
          <w:rFonts w:ascii="Arial" w:hAnsi="Arial" w:cs="Arial"/>
          <w:sz w:val="20"/>
          <w:szCs w:val="20"/>
        </w:rPr>
        <w:t xml:space="preserve">the </w:t>
      </w:r>
      <w:r w:rsidRPr="0036208A">
        <w:rPr>
          <w:rFonts w:ascii="Arial" w:hAnsi="Arial" w:cs="Arial"/>
          <w:sz w:val="20"/>
          <w:szCs w:val="20"/>
        </w:rPr>
        <w:t>IAB-MT</w:t>
      </w:r>
      <w:r w:rsidR="00F6403C">
        <w:rPr>
          <w:rFonts w:ascii="Arial" w:hAnsi="Arial" w:cs="Arial"/>
          <w:sz w:val="20"/>
          <w:szCs w:val="20"/>
        </w:rPr>
        <w:t xml:space="preserve">’s assumptions </w:t>
      </w:r>
      <w:r w:rsidR="00952FD3" w:rsidRPr="0036208A">
        <w:rPr>
          <w:rFonts w:ascii="Arial" w:hAnsi="Arial" w:cs="Arial"/>
          <w:sz w:val="20"/>
          <w:szCs w:val="20"/>
        </w:rPr>
        <w:t>m</w:t>
      </w:r>
      <w:r w:rsidR="0008279D">
        <w:rPr>
          <w:rFonts w:ascii="Arial" w:hAnsi="Arial" w:cs="Arial"/>
          <w:sz w:val="20"/>
          <w:szCs w:val="20"/>
        </w:rPr>
        <w:t>ay</w:t>
      </w:r>
      <w:r w:rsidRPr="0036208A">
        <w:rPr>
          <w:rFonts w:ascii="Arial" w:hAnsi="Arial" w:cs="Arial"/>
          <w:sz w:val="20"/>
          <w:szCs w:val="20"/>
        </w:rPr>
        <w:t xml:space="preserve"> ad</w:t>
      </w:r>
      <w:r w:rsidR="00F6403C">
        <w:rPr>
          <w:rFonts w:ascii="Arial" w:hAnsi="Arial" w:cs="Arial"/>
          <w:sz w:val="20"/>
          <w:szCs w:val="20"/>
        </w:rPr>
        <w:t>o</w:t>
      </w:r>
      <w:r w:rsidRPr="0036208A">
        <w:rPr>
          <w:rFonts w:ascii="Arial" w:hAnsi="Arial" w:cs="Arial"/>
          <w:sz w:val="20"/>
          <w:szCs w:val="20"/>
        </w:rPr>
        <w:t xml:space="preserve">pt a similar approach </w:t>
      </w:r>
      <w:r w:rsidR="00446BA9" w:rsidRPr="0036208A">
        <w:rPr>
          <w:rFonts w:ascii="Arial" w:hAnsi="Arial" w:cs="Arial"/>
          <w:sz w:val="20"/>
          <w:szCs w:val="20"/>
        </w:rPr>
        <w:t>to solve</w:t>
      </w:r>
      <w:r w:rsidRPr="0036208A">
        <w:rPr>
          <w:rFonts w:ascii="Arial" w:hAnsi="Arial" w:cs="Arial"/>
          <w:sz w:val="20"/>
          <w:szCs w:val="20"/>
        </w:rPr>
        <w:t xml:space="preserve"> the transmission direction conflict </w:t>
      </w:r>
      <w:r w:rsidR="00EA027F" w:rsidRPr="0036208A">
        <w:rPr>
          <w:rFonts w:ascii="Arial" w:hAnsi="Arial" w:cs="Arial"/>
          <w:sz w:val="20"/>
          <w:szCs w:val="20"/>
        </w:rPr>
        <w:t>in</w:t>
      </w:r>
      <w:r w:rsidR="00C71CD8" w:rsidRPr="0036208A">
        <w:rPr>
          <w:rFonts w:ascii="Arial" w:hAnsi="Arial" w:cs="Arial"/>
          <w:sz w:val="20"/>
          <w:szCs w:val="20"/>
        </w:rPr>
        <w:t xml:space="preserve"> </w:t>
      </w:r>
      <w:r w:rsidR="0006201D" w:rsidRPr="0036208A">
        <w:rPr>
          <w:rFonts w:ascii="Arial" w:hAnsi="Arial" w:cs="Arial"/>
          <w:sz w:val="20"/>
          <w:szCs w:val="20"/>
        </w:rPr>
        <w:t>i</w:t>
      </w:r>
      <w:r w:rsidRPr="0036208A">
        <w:rPr>
          <w:rFonts w:ascii="Arial" w:hAnsi="Arial" w:cs="Arial"/>
          <w:sz w:val="20"/>
          <w:szCs w:val="20"/>
        </w:rPr>
        <w:t>nter-carrier DC</w:t>
      </w:r>
      <w:r w:rsidR="00EA027F" w:rsidRPr="0036208A">
        <w:rPr>
          <w:rFonts w:ascii="Arial" w:hAnsi="Arial" w:cs="Arial"/>
          <w:sz w:val="20"/>
          <w:szCs w:val="20"/>
        </w:rPr>
        <w:t xml:space="preserve"> scenarios</w:t>
      </w:r>
      <w:r w:rsidR="00C71CD8" w:rsidRPr="0036208A">
        <w:rPr>
          <w:rFonts w:ascii="Arial" w:hAnsi="Arial" w:cs="Arial"/>
          <w:sz w:val="20"/>
          <w:szCs w:val="20"/>
        </w:rPr>
        <w:t>, for IAB-MT</w:t>
      </w:r>
      <w:r w:rsidR="00EA027F" w:rsidRPr="0036208A">
        <w:rPr>
          <w:rFonts w:ascii="Arial" w:hAnsi="Arial" w:cs="Arial"/>
          <w:sz w:val="20"/>
          <w:szCs w:val="20"/>
        </w:rPr>
        <w:t>s</w:t>
      </w:r>
      <w:r w:rsidR="00C71CD8" w:rsidRPr="0036208A">
        <w:rPr>
          <w:rFonts w:ascii="Arial" w:hAnsi="Arial" w:cs="Arial"/>
          <w:sz w:val="20"/>
          <w:szCs w:val="20"/>
        </w:rPr>
        <w:t xml:space="preserve"> which do not support simultaneous transmission and reception on any </w:t>
      </w:r>
      <w:r w:rsidR="001B443A" w:rsidRPr="0036208A">
        <w:rPr>
          <w:rFonts w:ascii="Arial" w:hAnsi="Arial" w:cs="Arial"/>
          <w:sz w:val="20"/>
          <w:szCs w:val="20"/>
        </w:rPr>
        <w:t xml:space="preserve">pair </w:t>
      </w:r>
      <w:r w:rsidR="00C71CD8" w:rsidRPr="0036208A">
        <w:rPr>
          <w:rFonts w:ascii="Arial" w:hAnsi="Arial" w:cs="Arial"/>
          <w:sz w:val="20"/>
          <w:szCs w:val="20"/>
        </w:rPr>
        <w:t xml:space="preserve">of the multiple serving cells configured </w:t>
      </w:r>
      <w:r w:rsidR="001B443A" w:rsidRPr="0036208A">
        <w:rPr>
          <w:rFonts w:ascii="Arial" w:hAnsi="Arial" w:cs="Arial"/>
          <w:sz w:val="20"/>
          <w:szCs w:val="20"/>
        </w:rPr>
        <w:t>for</w:t>
      </w:r>
      <w:r w:rsidR="00C71CD8" w:rsidRPr="0036208A">
        <w:rPr>
          <w:rFonts w:ascii="Arial" w:hAnsi="Arial" w:cs="Arial"/>
          <w:sz w:val="20"/>
          <w:szCs w:val="20"/>
        </w:rPr>
        <w:t xml:space="preserve"> the dual parent nodes in the same </w:t>
      </w:r>
      <w:r w:rsidR="001B443A" w:rsidRPr="0036208A">
        <w:rPr>
          <w:rFonts w:ascii="Arial" w:hAnsi="Arial" w:cs="Arial"/>
          <w:sz w:val="20"/>
          <w:szCs w:val="20"/>
        </w:rPr>
        <w:t xml:space="preserve">or different </w:t>
      </w:r>
      <w:r w:rsidR="00C71CD8" w:rsidRPr="0036208A">
        <w:rPr>
          <w:rFonts w:ascii="Arial" w:hAnsi="Arial" w:cs="Arial"/>
          <w:sz w:val="20"/>
          <w:szCs w:val="20"/>
        </w:rPr>
        <w:t xml:space="preserve">frequency </w:t>
      </w:r>
      <w:r w:rsidR="001B443A" w:rsidRPr="0036208A">
        <w:rPr>
          <w:rFonts w:ascii="Arial" w:hAnsi="Arial" w:cs="Arial"/>
          <w:sz w:val="20"/>
          <w:szCs w:val="20"/>
        </w:rPr>
        <w:t>bands.</w:t>
      </w:r>
      <w:r w:rsidRPr="0036208A">
        <w:rPr>
          <w:rFonts w:ascii="Arial" w:hAnsi="Arial" w:cs="Arial"/>
          <w:sz w:val="20"/>
          <w:szCs w:val="20"/>
        </w:rPr>
        <w:t xml:space="preserve"> In particular, the IAB-MT can report to the donor-CU about its capability </w:t>
      </w:r>
      <w:r w:rsidR="001B443A" w:rsidRPr="0036208A">
        <w:rPr>
          <w:rFonts w:ascii="Arial" w:hAnsi="Arial" w:cs="Arial"/>
          <w:sz w:val="20"/>
          <w:szCs w:val="20"/>
        </w:rPr>
        <w:t>regarding</w:t>
      </w:r>
      <w:r w:rsidRPr="0036208A">
        <w:rPr>
          <w:rFonts w:ascii="Arial" w:hAnsi="Arial" w:cs="Arial"/>
          <w:sz w:val="20"/>
          <w:szCs w:val="20"/>
        </w:rPr>
        <w:t xml:space="preserve"> </w:t>
      </w:r>
      <w:r w:rsidRPr="0036208A">
        <w:rPr>
          <w:rFonts w:ascii="Arial" w:hAnsi="Arial" w:cs="Arial"/>
          <w:sz w:val="20"/>
          <w:szCs w:val="20"/>
        </w:rPr>
        <w:lastRenderedPageBreak/>
        <w:t xml:space="preserve">simultaneous transmission and reception on multiple serving cells configured </w:t>
      </w:r>
      <w:r w:rsidR="001B443A" w:rsidRPr="0036208A">
        <w:rPr>
          <w:rFonts w:ascii="Arial" w:hAnsi="Arial" w:cs="Arial"/>
          <w:sz w:val="20"/>
          <w:szCs w:val="20"/>
        </w:rPr>
        <w:t>for</w:t>
      </w:r>
      <w:r w:rsidRPr="0036208A">
        <w:rPr>
          <w:rFonts w:ascii="Arial" w:hAnsi="Arial" w:cs="Arial"/>
          <w:sz w:val="20"/>
          <w:szCs w:val="20"/>
        </w:rPr>
        <w:t xml:space="preserve"> the dual-parent nodes in the same </w:t>
      </w:r>
      <w:r w:rsidR="001B443A" w:rsidRPr="0036208A">
        <w:rPr>
          <w:rFonts w:ascii="Arial" w:hAnsi="Arial" w:cs="Arial"/>
          <w:sz w:val="20"/>
          <w:szCs w:val="20"/>
        </w:rPr>
        <w:t xml:space="preserve">or different </w:t>
      </w:r>
      <w:r w:rsidRPr="0036208A">
        <w:rPr>
          <w:rFonts w:ascii="Arial" w:hAnsi="Arial" w:cs="Arial"/>
          <w:sz w:val="20"/>
          <w:szCs w:val="20"/>
        </w:rPr>
        <w:t xml:space="preserve">frequency </w:t>
      </w:r>
      <w:r w:rsidR="001B443A" w:rsidRPr="0036208A">
        <w:rPr>
          <w:rFonts w:ascii="Arial" w:hAnsi="Arial" w:cs="Arial"/>
          <w:sz w:val="20"/>
          <w:szCs w:val="20"/>
        </w:rPr>
        <w:t>bands.</w:t>
      </w:r>
      <w:r w:rsidR="00DE6895" w:rsidRPr="0036208A">
        <w:rPr>
          <w:rFonts w:ascii="Arial" w:hAnsi="Arial" w:cs="Arial"/>
          <w:sz w:val="20"/>
          <w:szCs w:val="20"/>
        </w:rPr>
        <w:t xml:space="preserve"> In addition,</w:t>
      </w:r>
      <w:r w:rsidRPr="0036208A">
        <w:rPr>
          <w:rFonts w:ascii="Arial" w:hAnsi="Arial" w:cs="Arial"/>
          <w:sz w:val="20"/>
          <w:szCs w:val="20"/>
        </w:rPr>
        <w:t xml:space="preserve"> </w:t>
      </w:r>
      <w:r w:rsidR="00DE6895" w:rsidRPr="0036208A">
        <w:rPr>
          <w:rFonts w:ascii="Arial" w:hAnsi="Arial" w:cs="Arial"/>
          <w:sz w:val="20"/>
          <w:szCs w:val="20"/>
        </w:rPr>
        <w:t>a</w:t>
      </w:r>
      <w:r w:rsidR="00EA027F" w:rsidRPr="0036208A">
        <w:rPr>
          <w:rFonts w:ascii="Arial" w:hAnsi="Arial" w:cs="Arial"/>
          <w:sz w:val="20"/>
          <w:szCs w:val="20"/>
        </w:rPr>
        <w:t>n</w:t>
      </w:r>
      <w:r w:rsidRPr="0036208A">
        <w:rPr>
          <w:rFonts w:ascii="Arial" w:hAnsi="Arial" w:cs="Arial"/>
          <w:sz w:val="20"/>
          <w:szCs w:val="20"/>
        </w:rPr>
        <w:t xml:space="preserve"> IAB-M</w:t>
      </w:r>
      <w:r w:rsidR="00EA027F" w:rsidRPr="0036208A">
        <w:rPr>
          <w:rFonts w:ascii="Arial" w:hAnsi="Arial" w:cs="Arial"/>
          <w:sz w:val="20"/>
          <w:szCs w:val="20"/>
        </w:rPr>
        <w:t>T</w:t>
      </w:r>
      <w:r w:rsidR="00DE6895" w:rsidRPr="0036208A">
        <w:rPr>
          <w:rFonts w:ascii="Arial" w:hAnsi="Arial" w:cs="Arial"/>
          <w:sz w:val="20"/>
          <w:szCs w:val="20"/>
        </w:rPr>
        <w:t xml:space="preserve"> which does not support the full-duplex DC operation</w:t>
      </w:r>
      <w:r w:rsidR="00EA027F" w:rsidRPr="0036208A">
        <w:rPr>
          <w:rFonts w:ascii="Arial" w:hAnsi="Arial" w:cs="Arial"/>
          <w:sz w:val="20"/>
          <w:szCs w:val="20"/>
        </w:rPr>
        <w:t xml:space="preserve"> can assume the parent backhaul links </w:t>
      </w:r>
      <w:r w:rsidR="002B56C9" w:rsidRPr="0036208A">
        <w:rPr>
          <w:rFonts w:ascii="Arial" w:hAnsi="Arial" w:cs="Arial"/>
          <w:sz w:val="20"/>
          <w:szCs w:val="20"/>
        </w:rPr>
        <w:t xml:space="preserve">to </w:t>
      </w:r>
      <w:r w:rsidR="00EA027F" w:rsidRPr="0036208A">
        <w:rPr>
          <w:rFonts w:ascii="Arial" w:hAnsi="Arial" w:cs="Arial"/>
          <w:sz w:val="20"/>
          <w:szCs w:val="20"/>
        </w:rPr>
        <w:t>have aligned transmission direction in terms of UL/DL configuration.</w:t>
      </w:r>
      <w:r w:rsidR="00F70673" w:rsidRPr="0036208A">
        <w:rPr>
          <w:rFonts w:ascii="Arial" w:hAnsi="Arial" w:cs="Arial"/>
          <w:sz w:val="20"/>
          <w:szCs w:val="20"/>
        </w:rPr>
        <w:t xml:space="preserve"> The </w:t>
      </w:r>
      <w:r w:rsidR="001B443A" w:rsidRPr="0036208A">
        <w:rPr>
          <w:rFonts w:ascii="Arial" w:hAnsi="Arial" w:cs="Arial"/>
          <w:sz w:val="20"/>
          <w:szCs w:val="20"/>
        </w:rPr>
        <w:t>IAB-MT’s assumption</w:t>
      </w:r>
      <w:r w:rsidR="00E105D0" w:rsidRPr="0036208A">
        <w:rPr>
          <w:rFonts w:ascii="Arial" w:hAnsi="Arial" w:cs="Arial"/>
          <w:sz w:val="20"/>
          <w:szCs w:val="20"/>
        </w:rPr>
        <w:t>s</w:t>
      </w:r>
      <w:r w:rsidR="001B443A" w:rsidRPr="0036208A">
        <w:rPr>
          <w:rFonts w:ascii="Arial" w:hAnsi="Arial" w:cs="Arial"/>
          <w:sz w:val="20"/>
          <w:szCs w:val="20"/>
        </w:rPr>
        <w:t xml:space="preserve"> of aligned UL/DL direction in </w:t>
      </w:r>
      <w:r w:rsidR="0006201D" w:rsidRPr="0036208A">
        <w:rPr>
          <w:rFonts w:ascii="Arial" w:hAnsi="Arial" w:cs="Arial"/>
          <w:sz w:val="20"/>
          <w:szCs w:val="20"/>
        </w:rPr>
        <w:t>i</w:t>
      </w:r>
      <w:r w:rsidR="001B443A" w:rsidRPr="0036208A">
        <w:rPr>
          <w:rFonts w:ascii="Arial" w:hAnsi="Arial" w:cs="Arial"/>
          <w:sz w:val="20"/>
          <w:szCs w:val="20"/>
        </w:rPr>
        <w:t>nter-carrier</w:t>
      </w:r>
      <w:r w:rsidR="00C0302F">
        <w:rPr>
          <w:rFonts w:ascii="Arial" w:hAnsi="Arial" w:cs="Arial"/>
          <w:sz w:val="20"/>
          <w:szCs w:val="20"/>
        </w:rPr>
        <w:t>,</w:t>
      </w:r>
      <w:r w:rsidR="001B443A" w:rsidRPr="0036208A">
        <w:rPr>
          <w:rFonts w:ascii="Arial" w:hAnsi="Arial" w:cs="Arial"/>
          <w:sz w:val="20"/>
          <w:szCs w:val="20"/>
        </w:rPr>
        <w:t xml:space="preserve"> </w:t>
      </w:r>
      <w:r w:rsidR="0006201D" w:rsidRPr="0036208A">
        <w:rPr>
          <w:rFonts w:ascii="Arial" w:hAnsi="Arial" w:cs="Arial"/>
          <w:sz w:val="20"/>
          <w:szCs w:val="20"/>
        </w:rPr>
        <w:t>i</w:t>
      </w:r>
      <w:r w:rsidR="001B443A" w:rsidRPr="0036208A">
        <w:rPr>
          <w:rFonts w:ascii="Arial" w:hAnsi="Arial" w:cs="Arial"/>
          <w:sz w:val="20"/>
          <w:szCs w:val="20"/>
        </w:rPr>
        <w:t>nter-band</w:t>
      </w:r>
      <w:r w:rsidR="00C0302F">
        <w:rPr>
          <w:rFonts w:ascii="Arial" w:hAnsi="Arial" w:cs="Arial"/>
          <w:sz w:val="20"/>
          <w:szCs w:val="20"/>
        </w:rPr>
        <w:t xml:space="preserve"> or </w:t>
      </w:r>
      <w:r w:rsidR="0006201D" w:rsidRPr="0036208A">
        <w:rPr>
          <w:rFonts w:ascii="Arial" w:hAnsi="Arial" w:cs="Arial"/>
          <w:sz w:val="20"/>
          <w:szCs w:val="20"/>
        </w:rPr>
        <w:t>i</w:t>
      </w:r>
      <w:r w:rsidR="001B443A" w:rsidRPr="0036208A">
        <w:rPr>
          <w:rFonts w:ascii="Arial" w:hAnsi="Arial" w:cs="Arial"/>
          <w:sz w:val="20"/>
          <w:szCs w:val="20"/>
        </w:rPr>
        <w:t>ntra-band DC</w:t>
      </w:r>
      <w:r w:rsidR="00E105D0" w:rsidRPr="0036208A">
        <w:rPr>
          <w:rFonts w:ascii="Arial" w:hAnsi="Arial" w:cs="Arial"/>
          <w:sz w:val="20"/>
          <w:szCs w:val="20"/>
        </w:rPr>
        <w:t>, and the corresponding behavior to handle the configuration conflict are</w:t>
      </w:r>
      <w:r w:rsidR="001B443A" w:rsidRPr="0036208A">
        <w:rPr>
          <w:rFonts w:ascii="Arial" w:hAnsi="Arial" w:cs="Arial"/>
          <w:sz w:val="20"/>
          <w:szCs w:val="20"/>
        </w:rPr>
        <w:t xml:space="preserve"> for further study.</w:t>
      </w:r>
    </w:p>
    <w:p w14:paraId="3CEF3BA5" w14:textId="506D999C" w:rsidR="001B443A" w:rsidRPr="00D75B25" w:rsidRDefault="001B443A" w:rsidP="001B5233">
      <w:pPr>
        <w:pStyle w:val="Proposal"/>
        <w:rPr>
          <w:sz w:val="20"/>
          <w:szCs w:val="20"/>
        </w:rPr>
      </w:pPr>
      <w:bookmarkStart w:id="148" w:name="_Toc61903489"/>
      <w:r w:rsidRPr="00D75B25">
        <w:rPr>
          <w:sz w:val="20"/>
          <w:szCs w:val="20"/>
        </w:rPr>
        <w:t xml:space="preserve">For </w:t>
      </w:r>
      <w:r w:rsidR="0006201D" w:rsidRPr="00D75B25">
        <w:rPr>
          <w:sz w:val="20"/>
          <w:szCs w:val="20"/>
        </w:rPr>
        <w:t>i</w:t>
      </w:r>
      <w:r w:rsidRPr="00D75B25">
        <w:rPr>
          <w:sz w:val="20"/>
          <w:szCs w:val="20"/>
        </w:rPr>
        <w:t>nter-carrier (</w:t>
      </w:r>
      <w:r w:rsidR="0006201D" w:rsidRPr="00D75B25">
        <w:rPr>
          <w:sz w:val="20"/>
          <w:szCs w:val="20"/>
        </w:rPr>
        <w:t>i</w:t>
      </w:r>
      <w:r w:rsidRPr="00D75B25">
        <w:rPr>
          <w:sz w:val="20"/>
          <w:szCs w:val="20"/>
        </w:rPr>
        <w:t xml:space="preserve">nter-band and </w:t>
      </w:r>
      <w:r w:rsidR="0006201D" w:rsidRPr="00D75B25">
        <w:rPr>
          <w:sz w:val="20"/>
          <w:szCs w:val="20"/>
        </w:rPr>
        <w:t>i</w:t>
      </w:r>
      <w:r w:rsidRPr="00D75B25">
        <w:rPr>
          <w:sz w:val="20"/>
          <w:szCs w:val="20"/>
        </w:rPr>
        <w:t>ntra-band) DC, the donor-CU can be made aware of the IAB-MT’s capability regarding simultaneous transmission and reception on multiple serving cells in a frequency band, configured by two parent nodes.</w:t>
      </w:r>
      <w:bookmarkEnd w:id="148"/>
    </w:p>
    <w:p w14:paraId="3A34749C" w14:textId="77777777" w:rsidR="001B5233" w:rsidRPr="00D75B25" w:rsidRDefault="001B443A" w:rsidP="001B5233">
      <w:pPr>
        <w:pStyle w:val="Proposal"/>
        <w:rPr>
          <w:sz w:val="20"/>
          <w:szCs w:val="20"/>
        </w:rPr>
      </w:pPr>
      <w:bookmarkStart w:id="149" w:name="_Toc61903490"/>
      <w:r w:rsidRPr="00D75B25">
        <w:rPr>
          <w:sz w:val="20"/>
          <w:szCs w:val="20"/>
        </w:rPr>
        <w:t>If an IAB-</w:t>
      </w:r>
      <w:r w:rsidR="00F70673" w:rsidRPr="00D75B25">
        <w:rPr>
          <w:sz w:val="20"/>
          <w:szCs w:val="20"/>
        </w:rPr>
        <w:t>MT</w:t>
      </w:r>
      <w:r w:rsidRPr="00D75B25">
        <w:rPr>
          <w:sz w:val="20"/>
          <w:szCs w:val="20"/>
        </w:rPr>
        <w:t xml:space="preserve"> is not capable of simultaneous transmission and reception on any pair of the multiple serving cells in the frequency band configured for two parent nodes, the IAB-MT can assume all serving cells configured for the two parent nodes have aligned UL/DL directions.</w:t>
      </w:r>
      <w:bookmarkEnd w:id="149"/>
    </w:p>
    <w:p w14:paraId="2CBB8480" w14:textId="77777777" w:rsidR="001B5233" w:rsidRPr="00D75B25" w:rsidRDefault="001B443A" w:rsidP="001B5233">
      <w:pPr>
        <w:pStyle w:val="Proposal"/>
        <w:numPr>
          <w:ilvl w:val="0"/>
          <w:numId w:val="0"/>
        </w:numPr>
        <w:ind w:left="1701"/>
        <w:rPr>
          <w:sz w:val="20"/>
          <w:szCs w:val="20"/>
        </w:rPr>
      </w:pPr>
      <w:bookmarkStart w:id="150" w:name="_Toc61903491"/>
      <w:r w:rsidRPr="00D75B25">
        <w:rPr>
          <w:sz w:val="20"/>
          <w:szCs w:val="20"/>
        </w:rPr>
        <w:t xml:space="preserve">FFS: the IAB-MT’s assumption of aligned UL/DL directions in </w:t>
      </w:r>
      <w:r w:rsidR="0006201D" w:rsidRPr="00D75B25">
        <w:rPr>
          <w:sz w:val="20"/>
          <w:szCs w:val="20"/>
        </w:rPr>
        <w:t>i</w:t>
      </w:r>
      <w:r w:rsidRPr="00D75B25">
        <w:rPr>
          <w:sz w:val="20"/>
          <w:szCs w:val="20"/>
        </w:rPr>
        <w:t xml:space="preserve">nter-band and </w:t>
      </w:r>
      <w:r w:rsidR="0006201D" w:rsidRPr="00D75B25">
        <w:rPr>
          <w:sz w:val="20"/>
          <w:szCs w:val="20"/>
        </w:rPr>
        <w:t>i</w:t>
      </w:r>
      <w:r w:rsidRPr="00D75B25">
        <w:rPr>
          <w:sz w:val="20"/>
          <w:szCs w:val="20"/>
        </w:rPr>
        <w:t>ntra-band DC.</w:t>
      </w:r>
      <w:bookmarkEnd w:id="150"/>
    </w:p>
    <w:p w14:paraId="117DDBCB" w14:textId="63F21AFC" w:rsidR="001B443A" w:rsidRPr="00D75B25" w:rsidRDefault="00E105D0" w:rsidP="00D75B25">
      <w:pPr>
        <w:pStyle w:val="Proposal"/>
        <w:numPr>
          <w:ilvl w:val="0"/>
          <w:numId w:val="0"/>
        </w:numPr>
        <w:ind w:left="1701"/>
        <w:rPr>
          <w:sz w:val="20"/>
          <w:szCs w:val="20"/>
        </w:rPr>
      </w:pPr>
      <w:bookmarkStart w:id="151" w:name="_Toc61903492"/>
      <w:r w:rsidRPr="00D75B25">
        <w:rPr>
          <w:sz w:val="20"/>
          <w:szCs w:val="20"/>
        </w:rPr>
        <w:t>FFS: the IAB-MT’s behavior to handle the configuration conflict.</w:t>
      </w:r>
      <w:bookmarkEnd w:id="151"/>
    </w:p>
    <w:p w14:paraId="6E7A341D" w14:textId="0CF2F1E8" w:rsidR="001B443A" w:rsidRPr="001B5233" w:rsidRDefault="001B443A" w:rsidP="00496476">
      <w:pPr>
        <w:jc w:val="both"/>
        <w:rPr>
          <w:rFonts w:ascii="Arial" w:hAnsi="Arial" w:cs="Arial"/>
          <w:sz w:val="20"/>
          <w:szCs w:val="20"/>
        </w:rPr>
      </w:pPr>
      <w:r w:rsidRPr="0036208A">
        <w:rPr>
          <w:rFonts w:ascii="Arial" w:hAnsi="Arial" w:cs="Arial"/>
          <w:sz w:val="20"/>
          <w:szCs w:val="20"/>
        </w:rPr>
        <w:t xml:space="preserve">In </w:t>
      </w:r>
      <w:r w:rsidR="0006201D" w:rsidRPr="0036208A">
        <w:rPr>
          <w:rFonts w:ascii="Arial" w:hAnsi="Arial" w:cs="Arial"/>
          <w:sz w:val="20"/>
          <w:szCs w:val="20"/>
        </w:rPr>
        <w:t>i</w:t>
      </w:r>
      <w:r w:rsidRPr="0036208A">
        <w:rPr>
          <w:rFonts w:ascii="Arial" w:hAnsi="Arial" w:cs="Arial"/>
          <w:sz w:val="20"/>
          <w:szCs w:val="20"/>
        </w:rPr>
        <w:t xml:space="preserve">ntra-donor DC, the same donor-CU node is responsible for the semi-static resource configuration of the both parent nodes. It is expected that the donor-CU can coordinate the parent nodes DU resource configurations to avoid a collision of transmission direction. On the other hand, the SFI-based dynamic resource configuration is performed by the dual parent nodes separately. To minimize the transmission direction collision due to dynamic indication, it is beneficial to share the DU resource configurations between the parent nodes. For example, this can be achieved by the donor-CU providing to a parent node the DU resource configurations of the other peer parent node that connects to the same IAB node. </w:t>
      </w:r>
    </w:p>
    <w:p w14:paraId="612E370B" w14:textId="77777777" w:rsidR="001B443A" w:rsidRPr="00D75B25" w:rsidRDefault="001B443A" w:rsidP="00496476">
      <w:pPr>
        <w:pStyle w:val="Proposal"/>
        <w:rPr>
          <w:sz w:val="20"/>
          <w:szCs w:val="20"/>
        </w:rPr>
      </w:pPr>
      <w:bookmarkStart w:id="152" w:name="_Toc61903493"/>
      <w:r w:rsidRPr="00D75B25">
        <w:rPr>
          <w:sz w:val="20"/>
          <w:szCs w:val="20"/>
        </w:rPr>
        <w:t>A parent-node can be made aware of the DU resource configuration of the other peer parent node that connects to the same IAB node.</w:t>
      </w:r>
      <w:bookmarkEnd w:id="152"/>
    </w:p>
    <w:p w14:paraId="784C20DC" w14:textId="77777777" w:rsidR="00181700" w:rsidRPr="00181700" w:rsidRDefault="00593F26" w:rsidP="00181700">
      <w:pPr>
        <w:pStyle w:val="Heading2"/>
        <w:jc w:val="both"/>
        <w:rPr>
          <w:rStyle w:val="CommentReference"/>
          <w:sz w:val="32"/>
          <w:szCs w:val="20"/>
          <w:lang w:val="en-US"/>
        </w:rPr>
      </w:pPr>
      <w:r w:rsidRPr="0036208A">
        <w:rPr>
          <w:lang w:val="en-US"/>
        </w:rPr>
        <w:t>Multi-MT for i</w:t>
      </w:r>
      <w:r w:rsidR="00146058" w:rsidRPr="0036208A">
        <w:rPr>
          <w:lang w:val="en-US"/>
        </w:rPr>
        <w:t>ntra-carrier</w:t>
      </w:r>
      <w:r w:rsidR="00E85D61" w:rsidRPr="0036208A">
        <w:rPr>
          <w:lang w:val="en-US"/>
        </w:rPr>
        <w:t>,</w:t>
      </w:r>
      <w:r w:rsidR="00146058" w:rsidRPr="0036208A">
        <w:rPr>
          <w:lang w:val="en-US"/>
        </w:rPr>
        <w:t xml:space="preserve"> </w:t>
      </w:r>
      <w:r w:rsidR="00EA36A7" w:rsidRPr="0036208A">
        <w:rPr>
          <w:lang w:val="en-US"/>
        </w:rPr>
        <w:t xml:space="preserve">multi-parent </w:t>
      </w:r>
      <w:r w:rsidR="00F63711" w:rsidRPr="0036208A">
        <w:rPr>
          <w:lang w:val="en-US"/>
        </w:rPr>
        <w:t>operation</w:t>
      </w:r>
    </w:p>
    <w:p w14:paraId="0169F89D" w14:textId="7E50AEBA" w:rsidR="00A04FE6" w:rsidRPr="00D75B25" w:rsidRDefault="00A04FE6" w:rsidP="00181700">
      <w:pPr>
        <w:rPr>
          <w:rFonts w:ascii="Arial" w:hAnsi="Arial" w:cs="Arial"/>
          <w:sz w:val="20"/>
          <w:szCs w:val="20"/>
        </w:rPr>
      </w:pPr>
      <w:r w:rsidRPr="00D75B25">
        <w:rPr>
          <w:rFonts w:ascii="Arial" w:hAnsi="Arial" w:cs="Arial"/>
          <w:sz w:val="20"/>
          <w:szCs w:val="20"/>
        </w:rPr>
        <w:t xml:space="preserve">In the 3GPP TSG-RAN meeting #90e there was a discussion on support of Intra-carrier DC for dual-parent operation in Rel-17 enhance IAB. The discussion ended with no proposal or convergence on the question of whether intra-frequency multiplexing for dual-connectivity scenarios should be considered in Rel-17 IAB. </w:t>
      </w:r>
    </w:p>
    <w:p w14:paraId="2A0A81A7" w14:textId="14060FEC" w:rsidR="00457DC7" w:rsidRPr="00D75B25" w:rsidRDefault="00457DC7" w:rsidP="00496476">
      <w:pPr>
        <w:jc w:val="both"/>
        <w:rPr>
          <w:rFonts w:ascii="Arial" w:hAnsi="Arial" w:cs="Arial"/>
          <w:sz w:val="20"/>
          <w:szCs w:val="20"/>
        </w:rPr>
      </w:pPr>
      <w:r w:rsidRPr="00D75B25">
        <w:rPr>
          <w:rFonts w:ascii="Arial" w:hAnsi="Arial" w:cs="Arial"/>
          <w:sz w:val="20"/>
          <w:szCs w:val="20"/>
        </w:rPr>
        <w:t>As present</w:t>
      </w:r>
      <w:r w:rsidR="00A04FE6" w:rsidRPr="00D75B25">
        <w:rPr>
          <w:rFonts w:ascii="Arial" w:hAnsi="Arial" w:cs="Arial"/>
          <w:sz w:val="20"/>
          <w:szCs w:val="20"/>
        </w:rPr>
        <w:t>ed</w:t>
      </w:r>
      <w:r w:rsidRPr="00D75B25">
        <w:rPr>
          <w:rFonts w:ascii="Arial" w:hAnsi="Arial" w:cs="Arial"/>
          <w:sz w:val="20"/>
          <w:szCs w:val="20"/>
        </w:rPr>
        <w:t xml:space="preserve"> above and previously discussed</w:t>
      </w:r>
      <w:r w:rsidR="00A04FE6" w:rsidRPr="00D75B25">
        <w:rPr>
          <w:rFonts w:ascii="Arial" w:hAnsi="Arial" w:cs="Arial"/>
          <w:sz w:val="20"/>
          <w:szCs w:val="20"/>
        </w:rPr>
        <w:t xml:space="preserve"> </w:t>
      </w:r>
      <w:r w:rsidR="00A04FE6" w:rsidRPr="00D75B25">
        <w:rPr>
          <w:rFonts w:ascii="Arial" w:hAnsi="Arial" w:cs="Arial"/>
          <w:sz w:val="20"/>
          <w:szCs w:val="20"/>
        </w:rPr>
        <w:fldChar w:fldCharType="begin"/>
      </w:r>
      <w:r w:rsidR="00A04FE6" w:rsidRPr="00D75B25">
        <w:rPr>
          <w:rFonts w:ascii="Arial" w:hAnsi="Arial" w:cs="Arial"/>
          <w:sz w:val="20"/>
          <w:szCs w:val="20"/>
        </w:rPr>
        <w:instrText xml:space="preserve"> REF _Ref61358944 \r \h </w:instrText>
      </w:r>
      <w:r w:rsidR="00434F5F" w:rsidRPr="00D75B25">
        <w:rPr>
          <w:rFonts w:ascii="Arial" w:hAnsi="Arial" w:cs="Arial"/>
          <w:sz w:val="20"/>
          <w:szCs w:val="20"/>
        </w:rPr>
        <w:instrText xml:space="preserve"> \* MERGEFORMAT </w:instrText>
      </w:r>
      <w:r w:rsidR="00A04FE6" w:rsidRPr="00D75B25">
        <w:rPr>
          <w:rFonts w:ascii="Arial" w:hAnsi="Arial" w:cs="Arial"/>
          <w:sz w:val="20"/>
          <w:szCs w:val="20"/>
        </w:rPr>
      </w:r>
      <w:r w:rsidR="00A04FE6" w:rsidRPr="00D75B25">
        <w:rPr>
          <w:rFonts w:ascii="Arial" w:hAnsi="Arial" w:cs="Arial"/>
          <w:sz w:val="20"/>
          <w:szCs w:val="20"/>
        </w:rPr>
        <w:fldChar w:fldCharType="separate"/>
      </w:r>
      <w:r w:rsidR="009C0672">
        <w:rPr>
          <w:rFonts w:ascii="Arial" w:hAnsi="Arial" w:cs="Arial"/>
          <w:sz w:val="20"/>
          <w:szCs w:val="20"/>
        </w:rPr>
        <w:t>[11]</w:t>
      </w:r>
      <w:r w:rsidR="00A04FE6" w:rsidRPr="00D75B25">
        <w:rPr>
          <w:rFonts w:ascii="Arial" w:hAnsi="Arial" w:cs="Arial"/>
          <w:sz w:val="20"/>
          <w:szCs w:val="20"/>
        </w:rPr>
        <w:fldChar w:fldCharType="end"/>
      </w:r>
      <w:r w:rsidRPr="00D75B25">
        <w:rPr>
          <w:rFonts w:ascii="Arial" w:hAnsi="Arial" w:cs="Arial"/>
          <w:sz w:val="20"/>
          <w:szCs w:val="20"/>
        </w:rPr>
        <w:t xml:space="preserve">, inter-carrier DC may be implemented with little specification impact. </w:t>
      </w:r>
      <w:r w:rsidR="00782ADA" w:rsidRPr="00D75B25">
        <w:rPr>
          <w:rFonts w:ascii="Arial" w:hAnsi="Arial" w:cs="Arial"/>
          <w:sz w:val="20"/>
          <w:szCs w:val="20"/>
        </w:rPr>
        <w:t xml:space="preserve">One </w:t>
      </w:r>
      <w:r w:rsidRPr="00D75B25">
        <w:rPr>
          <w:rFonts w:ascii="Arial" w:hAnsi="Arial" w:cs="Arial"/>
          <w:sz w:val="20"/>
          <w:szCs w:val="20"/>
        </w:rPr>
        <w:t>reason for this is th</w:t>
      </w:r>
      <w:r w:rsidR="00782ADA" w:rsidRPr="00D75B25">
        <w:rPr>
          <w:rFonts w:ascii="Arial" w:hAnsi="Arial" w:cs="Arial"/>
          <w:sz w:val="20"/>
          <w:szCs w:val="20"/>
        </w:rPr>
        <w:t>e</w:t>
      </w:r>
      <w:r w:rsidRPr="00D75B25">
        <w:rPr>
          <w:rFonts w:ascii="Arial" w:hAnsi="Arial" w:cs="Arial"/>
          <w:sz w:val="20"/>
          <w:szCs w:val="20"/>
        </w:rPr>
        <w:t xml:space="preserve"> orthogonality between different parent nodes</w:t>
      </w:r>
      <w:r w:rsidR="00782ADA" w:rsidRPr="00D75B25">
        <w:rPr>
          <w:rFonts w:ascii="Arial" w:hAnsi="Arial" w:cs="Arial"/>
          <w:sz w:val="20"/>
          <w:szCs w:val="20"/>
        </w:rPr>
        <w:t>’</w:t>
      </w:r>
      <w:r w:rsidRPr="00D75B25">
        <w:rPr>
          <w:rFonts w:ascii="Arial" w:hAnsi="Arial" w:cs="Arial"/>
          <w:sz w:val="20"/>
          <w:szCs w:val="20"/>
        </w:rPr>
        <w:t xml:space="preserve"> resources</w:t>
      </w:r>
      <w:r w:rsidR="00782ADA" w:rsidRPr="00D75B25">
        <w:rPr>
          <w:rFonts w:ascii="Arial" w:hAnsi="Arial" w:cs="Arial"/>
          <w:sz w:val="20"/>
          <w:szCs w:val="20"/>
        </w:rPr>
        <w:t xml:space="preserve"> does not require any tight parent node </w:t>
      </w:r>
      <w:r w:rsidR="00D22C4C" w:rsidRPr="00D75B25">
        <w:rPr>
          <w:rFonts w:ascii="Arial" w:hAnsi="Arial" w:cs="Arial"/>
          <w:sz w:val="20"/>
          <w:szCs w:val="20"/>
        </w:rPr>
        <w:t xml:space="preserve">dynamic </w:t>
      </w:r>
      <w:r w:rsidR="00782ADA" w:rsidRPr="00D75B25">
        <w:rPr>
          <w:rFonts w:ascii="Arial" w:hAnsi="Arial" w:cs="Arial"/>
          <w:sz w:val="20"/>
          <w:szCs w:val="20"/>
        </w:rPr>
        <w:t>scheduler coordination. Another reason is that timing synchronization requirements can be more relaxed</w:t>
      </w:r>
      <w:r w:rsidR="004A534D" w:rsidRPr="00D75B25">
        <w:rPr>
          <w:rFonts w:ascii="Arial" w:hAnsi="Arial" w:cs="Arial"/>
          <w:sz w:val="20"/>
          <w:szCs w:val="20"/>
        </w:rPr>
        <w:t xml:space="preserve"> since the two carriers, at most, will only need to be aligned to the extent that Tx </w:t>
      </w:r>
      <w:r w:rsidR="00D22C4C" w:rsidRPr="00D75B25">
        <w:rPr>
          <w:rFonts w:ascii="Arial" w:hAnsi="Arial" w:cs="Arial"/>
          <w:sz w:val="20"/>
          <w:szCs w:val="20"/>
        </w:rPr>
        <w:t xml:space="preserve">in one carrier </w:t>
      </w:r>
      <w:r w:rsidR="004A534D" w:rsidRPr="00D75B25">
        <w:rPr>
          <w:rFonts w:ascii="Arial" w:hAnsi="Arial" w:cs="Arial"/>
          <w:sz w:val="20"/>
          <w:szCs w:val="20"/>
        </w:rPr>
        <w:t xml:space="preserve">and Rx </w:t>
      </w:r>
      <w:r w:rsidR="00D22C4C" w:rsidRPr="00D75B25">
        <w:rPr>
          <w:rFonts w:ascii="Arial" w:hAnsi="Arial" w:cs="Arial"/>
          <w:sz w:val="20"/>
          <w:szCs w:val="20"/>
        </w:rPr>
        <w:t xml:space="preserve">in the other </w:t>
      </w:r>
      <w:r w:rsidR="004A534D" w:rsidRPr="00D75B25">
        <w:rPr>
          <w:rFonts w:ascii="Arial" w:hAnsi="Arial" w:cs="Arial"/>
          <w:sz w:val="20"/>
          <w:szCs w:val="20"/>
        </w:rPr>
        <w:t xml:space="preserve">do not collide. </w:t>
      </w:r>
      <w:r w:rsidR="00D22C4C" w:rsidRPr="00D75B25">
        <w:rPr>
          <w:rFonts w:ascii="Arial" w:hAnsi="Arial" w:cs="Arial"/>
          <w:sz w:val="20"/>
          <w:szCs w:val="20"/>
        </w:rPr>
        <w:t>Inter-carrier i</w:t>
      </w:r>
      <w:r w:rsidR="004A534D" w:rsidRPr="00D75B25">
        <w:rPr>
          <w:rFonts w:ascii="Arial" w:hAnsi="Arial" w:cs="Arial"/>
          <w:sz w:val="20"/>
          <w:szCs w:val="20"/>
        </w:rPr>
        <w:t xml:space="preserve">nterference will </w:t>
      </w:r>
      <w:r w:rsidR="00F06F1D" w:rsidRPr="00D75B25">
        <w:rPr>
          <w:rFonts w:ascii="Arial" w:hAnsi="Arial" w:cs="Arial"/>
          <w:sz w:val="20"/>
          <w:szCs w:val="20"/>
        </w:rPr>
        <w:t xml:space="preserve">be managed by </w:t>
      </w:r>
      <w:r w:rsidR="004A534D" w:rsidRPr="00D75B25">
        <w:rPr>
          <w:rFonts w:ascii="Arial" w:hAnsi="Arial" w:cs="Arial"/>
          <w:sz w:val="20"/>
          <w:szCs w:val="20"/>
        </w:rPr>
        <w:t>RAN4 ACLR</w:t>
      </w:r>
      <w:r w:rsidR="00F06F1D" w:rsidRPr="00D75B25">
        <w:rPr>
          <w:rFonts w:ascii="Arial" w:hAnsi="Arial" w:cs="Arial"/>
          <w:sz w:val="20"/>
          <w:szCs w:val="20"/>
        </w:rPr>
        <w:t xml:space="preserve"> specification.</w:t>
      </w:r>
    </w:p>
    <w:p w14:paraId="53E7C81A" w14:textId="295CB91C" w:rsidR="00457F95" w:rsidRPr="00D75B25" w:rsidRDefault="00F06F1D" w:rsidP="00496476">
      <w:pPr>
        <w:jc w:val="both"/>
        <w:rPr>
          <w:rFonts w:ascii="Arial" w:hAnsi="Arial" w:cs="Arial"/>
          <w:sz w:val="20"/>
          <w:szCs w:val="20"/>
        </w:rPr>
      </w:pPr>
      <w:r w:rsidRPr="00D75B25">
        <w:rPr>
          <w:rFonts w:ascii="Arial" w:hAnsi="Arial" w:cs="Arial"/>
          <w:sz w:val="20"/>
          <w:szCs w:val="20"/>
        </w:rPr>
        <w:t>Intra-carrier DC does not meet the above relaxed requirements which is why it is poorly suited for multi-parent operation</w:t>
      </w:r>
      <w:r w:rsidR="00D22C4C" w:rsidRPr="00D75B25">
        <w:rPr>
          <w:rFonts w:ascii="Arial" w:hAnsi="Arial" w:cs="Arial"/>
          <w:sz w:val="20"/>
          <w:szCs w:val="20"/>
        </w:rPr>
        <w:t xml:space="preserve">. </w:t>
      </w:r>
      <w:r w:rsidR="00584C07" w:rsidRPr="00D75B25">
        <w:rPr>
          <w:rFonts w:ascii="Arial" w:hAnsi="Arial" w:cs="Arial"/>
          <w:sz w:val="20"/>
          <w:szCs w:val="20"/>
        </w:rPr>
        <w:t>The objective with DC in Rel-17 is topology redundancy, implying dynamic operation, which is contradictory to the capabilities of intra-carrier DC.</w:t>
      </w:r>
      <w:r w:rsidR="00457F95" w:rsidRPr="00D75B25">
        <w:rPr>
          <w:rFonts w:ascii="Arial" w:hAnsi="Arial" w:cs="Arial"/>
          <w:sz w:val="20"/>
          <w:szCs w:val="20"/>
        </w:rPr>
        <w:t xml:space="preserve"> </w:t>
      </w:r>
      <w:r w:rsidR="003944F5" w:rsidRPr="00D75B25">
        <w:rPr>
          <w:rFonts w:ascii="Arial" w:hAnsi="Arial" w:cs="Arial"/>
          <w:sz w:val="20"/>
          <w:szCs w:val="20"/>
        </w:rPr>
        <w:t>T</w:t>
      </w:r>
      <w:r w:rsidR="00391C4A" w:rsidRPr="00D75B25">
        <w:rPr>
          <w:rFonts w:ascii="Arial" w:hAnsi="Arial" w:cs="Arial"/>
          <w:sz w:val="20"/>
          <w:szCs w:val="20"/>
          <w:lang w:eastAsia="ja-JP"/>
        </w:rPr>
        <w:t>o enable intra-carrier DC, the complexity in, e.g., resource coordination, timing synchronization of the parent nodes, and interference measurement/management will require extensive specification work.</w:t>
      </w:r>
    </w:p>
    <w:p w14:paraId="41B03857" w14:textId="4CE038D5" w:rsidR="00306155" w:rsidRPr="00D75B25" w:rsidRDefault="00306155" w:rsidP="00496476">
      <w:pPr>
        <w:jc w:val="both"/>
        <w:rPr>
          <w:rFonts w:ascii="Arial" w:hAnsi="Arial" w:cs="Arial"/>
          <w:sz w:val="20"/>
          <w:szCs w:val="20"/>
        </w:rPr>
      </w:pPr>
      <w:r w:rsidRPr="00D75B25">
        <w:rPr>
          <w:rFonts w:ascii="Arial" w:hAnsi="Arial" w:cs="Arial"/>
          <w:sz w:val="20"/>
          <w:szCs w:val="20"/>
          <w:lang w:eastAsia="ja-JP"/>
        </w:rPr>
        <w:t>A</w:t>
      </w:r>
      <w:r w:rsidR="006D2DB1" w:rsidRPr="00D75B25">
        <w:rPr>
          <w:rFonts w:ascii="Arial" w:hAnsi="Arial" w:cs="Arial"/>
          <w:sz w:val="20"/>
          <w:szCs w:val="20"/>
          <w:lang w:eastAsia="ja-JP"/>
        </w:rPr>
        <w:t xml:space="preserve"> preferable</w:t>
      </w:r>
      <w:r w:rsidRPr="00D75B25">
        <w:rPr>
          <w:rFonts w:ascii="Arial" w:hAnsi="Arial" w:cs="Arial"/>
          <w:sz w:val="20"/>
          <w:szCs w:val="20"/>
          <w:lang w:eastAsia="ja-JP"/>
        </w:rPr>
        <w:t xml:space="preserve"> </w:t>
      </w:r>
      <w:r w:rsidR="006D2DB1" w:rsidRPr="00D75B25">
        <w:rPr>
          <w:rFonts w:ascii="Arial" w:hAnsi="Arial" w:cs="Arial"/>
          <w:sz w:val="20"/>
          <w:szCs w:val="20"/>
          <w:lang w:eastAsia="ja-JP"/>
        </w:rPr>
        <w:t>approach</w:t>
      </w:r>
      <w:r w:rsidRPr="00D75B25">
        <w:rPr>
          <w:rFonts w:ascii="Arial" w:hAnsi="Arial" w:cs="Arial"/>
          <w:sz w:val="20"/>
          <w:szCs w:val="20"/>
          <w:lang w:eastAsia="ja-JP"/>
        </w:rPr>
        <w:t xml:space="preserve"> to enable intra-</w:t>
      </w:r>
      <w:r w:rsidR="00304031" w:rsidRPr="00D75B25">
        <w:rPr>
          <w:rFonts w:ascii="Arial" w:hAnsi="Arial" w:cs="Arial"/>
          <w:sz w:val="20"/>
          <w:szCs w:val="20"/>
          <w:lang w:eastAsia="ja-JP"/>
        </w:rPr>
        <w:t>c</w:t>
      </w:r>
      <w:r w:rsidRPr="00D75B25">
        <w:rPr>
          <w:rFonts w:ascii="Arial" w:hAnsi="Arial" w:cs="Arial"/>
          <w:sz w:val="20"/>
          <w:szCs w:val="20"/>
          <w:lang w:eastAsia="ja-JP"/>
        </w:rPr>
        <w:t xml:space="preserve">arrier multi-parent operation </w:t>
      </w:r>
      <w:r w:rsidR="006D2DB1" w:rsidRPr="00D75B25">
        <w:rPr>
          <w:rFonts w:ascii="Arial" w:hAnsi="Arial" w:cs="Arial"/>
          <w:sz w:val="20"/>
          <w:szCs w:val="20"/>
          <w:lang w:eastAsia="ja-JP"/>
        </w:rPr>
        <w:t xml:space="preserve">is </w:t>
      </w:r>
      <w:r w:rsidR="00D82B4B" w:rsidRPr="00D75B25">
        <w:rPr>
          <w:rFonts w:ascii="Arial" w:hAnsi="Arial" w:cs="Arial"/>
          <w:sz w:val="20"/>
          <w:szCs w:val="20"/>
          <w:lang w:eastAsia="ja-JP"/>
        </w:rPr>
        <w:t>m</w:t>
      </w:r>
      <w:r w:rsidRPr="00D75B25">
        <w:rPr>
          <w:rFonts w:ascii="Arial" w:hAnsi="Arial" w:cs="Arial"/>
          <w:sz w:val="20"/>
          <w:szCs w:val="20"/>
          <w:lang w:eastAsia="ja-JP"/>
        </w:rPr>
        <w:t>ulti-MT</w:t>
      </w:r>
      <w:r w:rsidR="00F419B2" w:rsidRPr="00D75B25">
        <w:rPr>
          <w:rFonts w:ascii="Arial" w:hAnsi="Arial" w:cs="Arial"/>
          <w:sz w:val="20"/>
          <w:szCs w:val="20"/>
          <w:lang w:eastAsia="ja-JP"/>
        </w:rPr>
        <w:t>. Multi-MT would not require any tight scheduler coordination since each MT is operating independently from the other.</w:t>
      </w:r>
      <w:r w:rsidRPr="00D75B25">
        <w:rPr>
          <w:rFonts w:ascii="Arial" w:hAnsi="Arial" w:cs="Arial"/>
          <w:sz w:val="20"/>
          <w:szCs w:val="20"/>
          <w:lang w:eastAsia="ja-JP"/>
        </w:rPr>
        <w:t xml:space="preserve"> </w:t>
      </w:r>
      <w:r w:rsidR="00F419B2" w:rsidRPr="00D75B25">
        <w:rPr>
          <w:rFonts w:ascii="Arial" w:hAnsi="Arial" w:cs="Arial"/>
          <w:sz w:val="20"/>
          <w:szCs w:val="20"/>
          <w:lang w:eastAsia="ja-JP"/>
        </w:rPr>
        <w:t xml:space="preserve">Consequently, multi-MT </w:t>
      </w:r>
      <w:r w:rsidRPr="00D75B25">
        <w:rPr>
          <w:rFonts w:ascii="Arial" w:hAnsi="Arial" w:cs="Arial"/>
          <w:sz w:val="20"/>
          <w:szCs w:val="20"/>
        </w:rPr>
        <w:t xml:space="preserve">would </w:t>
      </w:r>
      <w:r w:rsidR="005117FD" w:rsidRPr="00D75B25">
        <w:rPr>
          <w:rFonts w:ascii="Arial" w:hAnsi="Arial" w:cs="Arial"/>
          <w:sz w:val="20"/>
          <w:szCs w:val="20"/>
        </w:rPr>
        <w:t xml:space="preserve">only </w:t>
      </w:r>
      <w:r w:rsidRPr="00D75B25">
        <w:rPr>
          <w:rFonts w:ascii="Arial" w:hAnsi="Arial" w:cs="Arial"/>
          <w:sz w:val="20"/>
          <w:szCs w:val="20"/>
        </w:rPr>
        <w:t>require loose time synchronization</w:t>
      </w:r>
      <w:r w:rsidR="005117FD" w:rsidRPr="00D75B25">
        <w:rPr>
          <w:rFonts w:ascii="Arial" w:hAnsi="Arial" w:cs="Arial"/>
          <w:sz w:val="20"/>
          <w:szCs w:val="20"/>
        </w:rPr>
        <w:t xml:space="preserve"> </w:t>
      </w:r>
      <w:r w:rsidR="00402C20" w:rsidRPr="00D75B25">
        <w:rPr>
          <w:rFonts w:ascii="Arial" w:hAnsi="Arial" w:cs="Arial"/>
          <w:sz w:val="20"/>
          <w:szCs w:val="20"/>
        </w:rPr>
        <w:t>in order to achieve</w:t>
      </w:r>
      <w:r w:rsidR="005117FD" w:rsidRPr="00D75B25">
        <w:rPr>
          <w:rFonts w:ascii="Arial" w:hAnsi="Arial" w:cs="Arial"/>
          <w:sz w:val="20"/>
          <w:szCs w:val="20"/>
        </w:rPr>
        <w:t xml:space="preserve"> TDD pattern alignment </w:t>
      </w:r>
      <w:proofErr w:type="gramStart"/>
      <w:r w:rsidR="005117FD" w:rsidRPr="00D75B25">
        <w:rPr>
          <w:rFonts w:ascii="Arial" w:hAnsi="Arial" w:cs="Arial"/>
          <w:sz w:val="20"/>
          <w:szCs w:val="20"/>
        </w:rPr>
        <w:t>similar to</w:t>
      </w:r>
      <w:proofErr w:type="gramEnd"/>
      <w:r w:rsidR="005117FD" w:rsidRPr="00D75B25">
        <w:rPr>
          <w:rFonts w:ascii="Arial" w:hAnsi="Arial" w:cs="Arial"/>
          <w:sz w:val="20"/>
          <w:szCs w:val="20"/>
        </w:rPr>
        <w:t xml:space="preserve"> intra-band DC</w:t>
      </w:r>
      <w:r w:rsidRPr="00D75B25">
        <w:rPr>
          <w:rFonts w:ascii="Arial" w:hAnsi="Arial" w:cs="Arial"/>
          <w:sz w:val="20"/>
          <w:szCs w:val="20"/>
        </w:rPr>
        <w:t xml:space="preserve">. </w:t>
      </w:r>
      <w:r w:rsidR="007F59DD" w:rsidRPr="00D75B25">
        <w:rPr>
          <w:rFonts w:ascii="Arial" w:hAnsi="Arial" w:cs="Arial"/>
          <w:sz w:val="20"/>
          <w:szCs w:val="20"/>
        </w:rPr>
        <w:t>Considering</w:t>
      </w:r>
      <w:r w:rsidRPr="00D75B25">
        <w:rPr>
          <w:rFonts w:ascii="Arial" w:hAnsi="Arial" w:cs="Arial"/>
          <w:sz w:val="20"/>
          <w:szCs w:val="20"/>
        </w:rPr>
        <w:t xml:space="preserve"> the multiple MTs on the receive side, </w:t>
      </w:r>
      <w:r w:rsidR="00C736D9" w:rsidRPr="00D75B25">
        <w:rPr>
          <w:rFonts w:ascii="Arial" w:hAnsi="Arial" w:cs="Arial"/>
          <w:sz w:val="20"/>
          <w:szCs w:val="20"/>
        </w:rPr>
        <w:t xml:space="preserve">and </w:t>
      </w:r>
      <w:r w:rsidRPr="00D75B25">
        <w:rPr>
          <w:rFonts w:ascii="Arial" w:hAnsi="Arial" w:cs="Arial"/>
          <w:sz w:val="20"/>
          <w:szCs w:val="20"/>
        </w:rPr>
        <w:t>by assuming well-isolated MTs (to start with)</w:t>
      </w:r>
      <w:r w:rsidR="00D82B4B" w:rsidRPr="00D75B25">
        <w:rPr>
          <w:rFonts w:ascii="Arial" w:hAnsi="Arial" w:cs="Arial"/>
          <w:sz w:val="20"/>
          <w:szCs w:val="20"/>
        </w:rPr>
        <w:t xml:space="preserve">, e.g., from </w:t>
      </w:r>
      <w:r w:rsidR="00BC5088" w:rsidRPr="00D75B25">
        <w:rPr>
          <w:rFonts w:ascii="Arial" w:hAnsi="Arial" w:cs="Arial"/>
          <w:sz w:val="20"/>
          <w:szCs w:val="20"/>
        </w:rPr>
        <w:t xml:space="preserve">making </w:t>
      </w:r>
      <w:r w:rsidR="00D82B4B" w:rsidRPr="00D75B25">
        <w:rPr>
          <w:rFonts w:ascii="Arial" w:hAnsi="Arial" w:cs="Arial"/>
          <w:sz w:val="20"/>
          <w:szCs w:val="20"/>
        </w:rPr>
        <w:t xml:space="preserve">deployment </w:t>
      </w:r>
      <w:r w:rsidR="00BC5088" w:rsidRPr="00D75B25">
        <w:rPr>
          <w:rFonts w:ascii="Arial" w:hAnsi="Arial" w:cs="Arial"/>
          <w:sz w:val="20"/>
          <w:szCs w:val="20"/>
        </w:rPr>
        <w:t xml:space="preserve">assumptions </w:t>
      </w:r>
      <w:r w:rsidR="00D82B4B" w:rsidRPr="00D75B25">
        <w:rPr>
          <w:rFonts w:ascii="Arial" w:hAnsi="Arial" w:cs="Arial"/>
          <w:sz w:val="20"/>
          <w:szCs w:val="20"/>
        </w:rPr>
        <w:t xml:space="preserve">similar to </w:t>
      </w:r>
      <w:r w:rsidR="00BC5088" w:rsidRPr="00D75B25">
        <w:rPr>
          <w:rFonts w:ascii="Arial" w:hAnsi="Arial" w:cs="Arial"/>
          <w:sz w:val="20"/>
          <w:szCs w:val="20"/>
        </w:rPr>
        <w:t xml:space="preserve">the ones </w:t>
      </w:r>
      <w:r w:rsidR="00307092" w:rsidRPr="00D75B25">
        <w:rPr>
          <w:rFonts w:ascii="Arial" w:hAnsi="Arial" w:cs="Arial"/>
          <w:sz w:val="20"/>
          <w:szCs w:val="20"/>
        </w:rPr>
        <w:t>for</w:t>
      </w:r>
      <w:r w:rsidR="00BC5088" w:rsidRPr="00D75B25">
        <w:rPr>
          <w:rFonts w:ascii="Arial" w:hAnsi="Arial" w:cs="Arial"/>
          <w:sz w:val="20"/>
          <w:szCs w:val="20"/>
        </w:rPr>
        <w:t xml:space="preserve"> </w:t>
      </w:r>
      <w:r w:rsidR="00D82B4B" w:rsidRPr="00D75B25">
        <w:rPr>
          <w:rFonts w:ascii="Arial" w:hAnsi="Arial" w:cs="Arial"/>
          <w:sz w:val="20"/>
          <w:szCs w:val="20"/>
        </w:rPr>
        <w:t>full duplex</w:t>
      </w:r>
      <w:r w:rsidRPr="00D75B25">
        <w:rPr>
          <w:rFonts w:ascii="Arial" w:hAnsi="Arial" w:cs="Arial"/>
          <w:sz w:val="20"/>
          <w:szCs w:val="20"/>
        </w:rPr>
        <w:t>, the multiple MTs can operate independently from each other and the CP is no longer the limiting factor</w:t>
      </w:r>
      <w:r w:rsidR="00D82B4B" w:rsidRPr="00D75B25">
        <w:rPr>
          <w:rFonts w:ascii="Arial" w:hAnsi="Arial" w:cs="Arial"/>
          <w:sz w:val="20"/>
          <w:szCs w:val="20"/>
        </w:rPr>
        <w:t xml:space="preserve">. </w:t>
      </w:r>
      <w:r w:rsidR="007F59DD" w:rsidRPr="00D75B25">
        <w:rPr>
          <w:rFonts w:ascii="Arial" w:hAnsi="Arial" w:cs="Arial"/>
          <w:sz w:val="20"/>
          <w:szCs w:val="20"/>
        </w:rPr>
        <w:t>Given the</w:t>
      </w:r>
      <w:r w:rsidRPr="00D75B25">
        <w:rPr>
          <w:rFonts w:ascii="Arial" w:hAnsi="Arial" w:cs="Arial"/>
          <w:sz w:val="20"/>
          <w:szCs w:val="20"/>
        </w:rPr>
        <w:t xml:space="preserve"> existing guard time periods for UL/DL transitions and vice versa of approximately 7 µs, IAB deployment would be much more flexible and thereby likely attract a larger operator interest.</w:t>
      </w:r>
    </w:p>
    <w:p w14:paraId="1C8ADF12" w14:textId="19646EA6" w:rsidR="00C447BB" w:rsidRPr="00D75B25" w:rsidRDefault="00306155" w:rsidP="00496476">
      <w:pPr>
        <w:pStyle w:val="Proposal"/>
        <w:rPr>
          <w:sz w:val="20"/>
          <w:szCs w:val="20"/>
        </w:rPr>
      </w:pPr>
      <w:bookmarkStart w:id="153" w:name="_Toc61903494"/>
      <w:r w:rsidRPr="00D75B25">
        <w:rPr>
          <w:sz w:val="20"/>
          <w:szCs w:val="20"/>
        </w:rPr>
        <w:t xml:space="preserve">Consider Multi-MT as an alternative to enable </w:t>
      </w:r>
      <w:r w:rsidR="00FB62CA" w:rsidRPr="00D75B25">
        <w:rPr>
          <w:sz w:val="20"/>
          <w:szCs w:val="20"/>
        </w:rPr>
        <w:t>i</w:t>
      </w:r>
      <w:r w:rsidRPr="00D75B25">
        <w:rPr>
          <w:sz w:val="20"/>
          <w:szCs w:val="20"/>
        </w:rPr>
        <w:t>ntra-carrier multi-parent operation for enhanced IAB.</w:t>
      </w:r>
      <w:bookmarkEnd w:id="153"/>
    </w:p>
    <w:p w14:paraId="114F6F10" w14:textId="77777777" w:rsidR="00C01F33" w:rsidRPr="0036208A" w:rsidRDefault="00C01F33" w:rsidP="00496476">
      <w:pPr>
        <w:pStyle w:val="Heading1"/>
        <w:jc w:val="both"/>
        <w:rPr>
          <w:lang w:val="en-US"/>
        </w:rPr>
      </w:pPr>
      <w:r w:rsidRPr="0036208A">
        <w:rPr>
          <w:lang w:val="en-US"/>
        </w:rPr>
        <w:lastRenderedPageBreak/>
        <w:t>Conclusion</w:t>
      </w:r>
    </w:p>
    <w:p w14:paraId="2F647881" w14:textId="77777777" w:rsidR="008E065E" w:rsidRPr="00734180" w:rsidRDefault="008E065E" w:rsidP="00496476">
      <w:pPr>
        <w:pStyle w:val="BodyText"/>
        <w:rPr>
          <w:b/>
          <w:sz w:val="20"/>
          <w:szCs w:val="20"/>
        </w:rPr>
      </w:pPr>
      <w:r w:rsidRPr="00734180">
        <w:rPr>
          <w:sz w:val="20"/>
          <w:szCs w:val="20"/>
        </w:rPr>
        <w:t xml:space="preserve">In </w:t>
      </w:r>
      <w:r w:rsidR="007729A2" w:rsidRPr="00734180">
        <w:rPr>
          <w:sz w:val="20"/>
          <w:szCs w:val="20"/>
        </w:rPr>
        <w:t xml:space="preserve">the previous </w:t>
      </w:r>
      <w:r w:rsidRPr="00734180">
        <w:rPr>
          <w:sz w:val="20"/>
          <w:szCs w:val="20"/>
        </w:rPr>
        <w:t>section</w:t>
      </w:r>
      <w:r w:rsidR="007729A2" w:rsidRPr="00734180">
        <w:rPr>
          <w:sz w:val="20"/>
          <w:szCs w:val="20"/>
        </w:rPr>
        <w:t>s</w:t>
      </w:r>
      <w:r w:rsidRPr="00734180">
        <w:rPr>
          <w:sz w:val="20"/>
          <w:szCs w:val="20"/>
        </w:rPr>
        <w:t xml:space="preserve"> we made the following observations:</w:t>
      </w:r>
      <w:r w:rsidR="00C93814" w:rsidRPr="00734180">
        <w:rPr>
          <w:b/>
          <w:sz w:val="20"/>
          <w:szCs w:val="20"/>
        </w:rPr>
        <w:t xml:space="preserve"> </w:t>
      </w:r>
    </w:p>
    <w:bookmarkStart w:id="154" w:name="_GoBack"/>
    <w:p w14:paraId="2E0E7F79" w14:textId="77777777" w:rsidR="009C0672" w:rsidRDefault="006F6582" w:rsidP="004535C1">
      <w:pPr>
        <w:pStyle w:val="TableofFigures"/>
        <w:tabs>
          <w:tab w:val="right" w:leader="dot" w:pos="9629"/>
        </w:tabs>
        <w:jc w:val="both"/>
        <w:rPr>
          <w:rFonts w:asciiTheme="minorHAnsi" w:eastAsiaTheme="minorEastAsia" w:hAnsiTheme="minorHAnsi"/>
          <w:b w:val="0"/>
          <w:noProof/>
          <w:lang w:val="sv-SE" w:eastAsia="sv-SE"/>
        </w:rPr>
      </w:pPr>
      <w:r w:rsidRPr="00734180">
        <w:rPr>
          <w:bCs/>
          <w:sz w:val="20"/>
          <w:szCs w:val="20"/>
        </w:rPr>
        <w:fldChar w:fldCharType="begin"/>
      </w:r>
      <w:r w:rsidRPr="00734180">
        <w:rPr>
          <w:bCs/>
          <w:sz w:val="20"/>
          <w:szCs w:val="20"/>
        </w:rPr>
        <w:instrText xml:space="preserve"> TOC \f O \n \h \z \t "Observation" \c </w:instrText>
      </w:r>
      <w:r w:rsidRPr="00734180">
        <w:rPr>
          <w:bCs/>
          <w:sz w:val="20"/>
          <w:szCs w:val="20"/>
        </w:rPr>
        <w:fldChar w:fldCharType="separate"/>
      </w:r>
      <w:hyperlink w:anchor="_Toc61903468" w:history="1">
        <w:r w:rsidR="009C0672" w:rsidRPr="00095319">
          <w:rPr>
            <w:rStyle w:val="Hyperlink"/>
            <w:noProof/>
          </w:rPr>
          <w:t>Observation 1</w:t>
        </w:r>
        <w:r w:rsidR="009C0672">
          <w:rPr>
            <w:rFonts w:asciiTheme="minorHAnsi" w:eastAsiaTheme="minorEastAsia" w:hAnsiTheme="minorHAnsi"/>
            <w:b w:val="0"/>
            <w:noProof/>
            <w:lang w:val="sv-SE" w:eastAsia="sv-SE"/>
          </w:rPr>
          <w:tab/>
        </w:r>
        <w:r w:rsidR="009C0672" w:rsidRPr="00095319">
          <w:rPr>
            <w:rStyle w:val="Hyperlink"/>
            <w:noProof/>
          </w:rPr>
          <w:t>The Rel-16 H/S concept is not applicable in space-domain.</w:t>
        </w:r>
      </w:hyperlink>
    </w:p>
    <w:p w14:paraId="7D3D041E"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69" w:history="1">
        <w:r w:rsidRPr="00095319">
          <w:rPr>
            <w:rStyle w:val="Hyperlink"/>
            <w:noProof/>
          </w:rPr>
          <w:t>Observation 2</w:t>
        </w:r>
        <w:r>
          <w:rPr>
            <w:rFonts w:asciiTheme="minorHAnsi" w:eastAsiaTheme="minorEastAsia" w:hAnsiTheme="minorHAnsi"/>
            <w:b w:val="0"/>
            <w:noProof/>
            <w:lang w:val="sv-SE" w:eastAsia="sv-SE"/>
          </w:rPr>
          <w:tab/>
        </w:r>
        <w:r w:rsidRPr="00095319">
          <w:rPr>
            <w:rStyle w:val="Hyperlink"/>
            <w:noProof/>
          </w:rPr>
          <w:t>Configuring NA on link-basis at the IAB-DU can be useful to semi-statically resource-wise restrict certain child link and/or access links of the IAB-DU.</w:t>
        </w:r>
      </w:hyperlink>
    </w:p>
    <w:p w14:paraId="28D3F7D3"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70" w:history="1">
        <w:r w:rsidRPr="00095319">
          <w:rPr>
            <w:rStyle w:val="Hyperlink"/>
            <w:noProof/>
          </w:rPr>
          <w:t>Observation 3</w:t>
        </w:r>
        <w:r>
          <w:rPr>
            <w:rFonts w:asciiTheme="minorHAnsi" w:eastAsiaTheme="minorEastAsia" w:hAnsiTheme="minorHAnsi"/>
            <w:b w:val="0"/>
            <w:noProof/>
            <w:lang w:val="sv-SE" w:eastAsia="sv-SE"/>
          </w:rPr>
          <w:tab/>
        </w:r>
        <w:r w:rsidRPr="00095319">
          <w:rPr>
            <w:rStyle w:val="Hyperlink"/>
            <w:noProof/>
          </w:rPr>
          <w:t>For independent carriers, IAB-MT resource coordination between the parent nodes is not needed.</w:t>
        </w:r>
      </w:hyperlink>
    </w:p>
    <w:p w14:paraId="66D7161E"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71" w:history="1">
        <w:r w:rsidRPr="00095319">
          <w:rPr>
            <w:rStyle w:val="Hyperlink"/>
            <w:noProof/>
          </w:rPr>
          <w:t>Observation 4</w:t>
        </w:r>
        <w:r>
          <w:rPr>
            <w:rFonts w:asciiTheme="minorHAnsi" w:eastAsiaTheme="minorEastAsia" w:hAnsiTheme="minorHAnsi"/>
            <w:b w:val="0"/>
            <w:noProof/>
            <w:lang w:val="sv-SE" w:eastAsia="sv-SE"/>
          </w:rPr>
          <w:tab/>
        </w:r>
        <w:r w:rsidRPr="00095319">
          <w:rPr>
            <w:rStyle w:val="Hyperlink"/>
            <w:noProof/>
          </w:rPr>
          <w:t>For inter-carrier DC, multiple parent nodes can signal DCI 2_5 to the IAB-MT independently, with respect to the same IAB-DU cell.</w:t>
        </w:r>
      </w:hyperlink>
    </w:p>
    <w:p w14:paraId="64786D24"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72" w:history="1">
        <w:r w:rsidRPr="00095319">
          <w:rPr>
            <w:rStyle w:val="Hyperlink"/>
            <w:noProof/>
          </w:rPr>
          <w:t>Observation 5</w:t>
        </w:r>
        <w:r>
          <w:rPr>
            <w:rFonts w:asciiTheme="minorHAnsi" w:eastAsiaTheme="minorEastAsia" w:hAnsiTheme="minorHAnsi"/>
            <w:b w:val="0"/>
            <w:noProof/>
            <w:lang w:val="sv-SE" w:eastAsia="sv-SE"/>
          </w:rPr>
          <w:tab/>
        </w:r>
        <w:r w:rsidRPr="00095319">
          <w:rPr>
            <w:rStyle w:val="Hyperlink"/>
            <w:noProof/>
          </w:rPr>
          <w:t>Availably indication for the dual-parent scenario is not different from the single parent scenario.</w:t>
        </w:r>
      </w:hyperlink>
    </w:p>
    <w:p w14:paraId="7AFFDBA9"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73" w:history="1">
        <w:r w:rsidRPr="00095319">
          <w:rPr>
            <w:rStyle w:val="Hyperlink"/>
            <w:noProof/>
          </w:rPr>
          <w:t>Observation 6</w:t>
        </w:r>
        <w:r>
          <w:rPr>
            <w:rFonts w:asciiTheme="minorHAnsi" w:eastAsiaTheme="minorEastAsia" w:hAnsiTheme="minorHAnsi"/>
            <w:b w:val="0"/>
            <w:noProof/>
            <w:lang w:val="sv-SE" w:eastAsia="sv-SE"/>
          </w:rPr>
          <w:tab/>
        </w:r>
        <w:r w:rsidRPr="00095319">
          <w:rPr>
            <w:rStyle w:val="Hyperlink"/>
            <w:noProof/>
          </w:rPr>
          <w:t>If the same IAB-DU resource is configured as Soft with respect to multiple IAB-MT CCs served by different parent nodes, the IAB-DU resource is available for DL/UL/Flexible given either implicit indication or DCI 2_5 from both parent node indicating the DL/UL/Flexible resource as available.</w:t>
        </w:r>
      </w:hyperlink>
    </w:p>
    <w:p w14:paraId="0A523A1A" w14:textId="449ADD94" w:rsidR="006E1C82" w:rsidRPr="00734180" w:rsidRDefault="006F6582" w:rsidP="004535C1">
      <w:pPr>
        <w:pStyle w:val="BodyText"/>
        <w:rPr>
          <w:sz w:val="20"/>
          <w:szCs w:val="20"/>
        </w:rPr>
      </w:pPr>
      <w:r w:rsidRPr="00734180">
        <w:rPr>
          <w:sz w:val="20"/>
          <w:szCs w:val="20"/>
        </w:rPr>
        <w:fldChar w:fldCharType="end"/>
      </w:r>
    </w:p>
    <w:p w14:paraId="0F8B9E43" w14:textId="77777777" w:rsidR="006E1C82" w:rsidRPr="00734180" w:rsidRDefault="008E065E" w:rsidP="004535C1">
      <w:pPr>
        <w:pStyle w:val="BodyText"/>
        <w:rPr>
          <w:sz w:val="20"/>
          <w:szCs w:val="20"/>
        </w:rPr>
      </w:pPr>
      <w:r w:rsidRPr="00734180">
        <w:rPr>
          <w:sz w:val="20"/>
          <w:szCs w:val="20"/>
        </w:rPr>
        <w:t xml:space="preserve">Based on the discussion in </w:t>
      </w:r>
      <w:r w:rsidR="007729A2" w:rsidRPr="00734180">
        <w:rPr>
          <w:sz w:val="20"/>
          <w:szCs w:val="20"/>
        </w:rPr>
        <w:t xml:space="preserve">the previous </w:t>
      </w:r>
      <w:r w:rsidRPr="00734180">
        <w:rPr>
          <w:sz w:val="20"/>
          <w:szCs w:val="20"/>
        </w:rPr>
        <w:t>section</w:t>
      </w:r>
      <w:r w:rsidR="007729A2" w:rsidRPr="00734180">
        <w:rPr>
          <w:sz w:val="20"/>
          <w:szCs w:val="20"/>
        </w:rPr>
        <w:t>s</w:t>
      </w:r>
      <w:r w:rsidRPr="00734180">
        <w:rPr>
          <w:sz w:val="20"/>
          <w:szCs w:val="20"/>
        </w:rPr>
        <w:t xml:space="preserve"> we propose the following:</w:t>
      </w:r>
    </w:p>
    <w:p w14:paraId="4CE3CDCC" w14:textId="77777777" w:rsidR="009C0672" w:rsidRDefault="006E1C82" w:rsidP="004535C1">
      <w:pPr>
        <w:pStyle w:val="TableofFigures"/>
        <w:tabs>
          <w:tab w:val="right" w:leader="dot" w:pos="9629"/>
        </w:tabs>
        <w:jc w:val="both"/>
        <w:rPr>
          <w:rFonts w:asciiTheme="minorHAnsi" w:eastAsiaTheme="minorEastAsia" w:hAnsiTheme="minorHAnsi"/>
          <w:b w:val="0"/>
          <w:noProof/>
          <w:lang w:val="sv-SE" w:eastAsia="sv-SE"/>
        </w:rPr>
      </w:pPr>
      <w:r w:rsidRPr="00734180">
        <w:rPr>
          <w:bCs/>
          <w:sz w:val="20"/>
          <w:szCs w:val="20"/>
        </w:rPr>
        <w:fldChar w:fldCharType="begin"/>
      </w:r>
      <w:r w:rsidRPr="00734180">
        <w:rPr>
          <w:bCs/>
          <w:sz w:val="20"/>
          <w:szCs w:val="20"/>
        </w:rPr>
        <w:instrText xml:space="preserve"> TOC \n \h \z \t "Proposal" \c </w:instrText>
      </w:r>
      <w:r w:rsidRPr="00734180">
        <w:rPr>
          <w:bCs/>
          <w:sz w:val="20"/>
          <w:szCs w:val="20"/>
        </w:rPr>
        <w:fldChar w:fldCharType="separate"/>
      </w:r>
      <w:hyperlink w:anchor="_Toc61903474" w:history="1">
        <w:r w:rsidR="009C0672" w:rsidRPr="007A0962">
          <w:rPr>
            <w:rStyle w:val="Hyperlink"/>
            <w:rFonts w:cs="Arial"/>
            <w:noProof/>
          </w:rPr>
          <w:t>Proposal 1</w:t>
        </w:r>
        <w:r w:rsidR="009C0672">
          <w:rPr>
            <w:rFonts w:asciiTheme="minorHAnsi" w:eastAsiaTheme="minorEastAsia" w:hAnsiTheme="minorHAnsi"/>
            <w:b w:val="0"/>
            <w:noProof/>
            <w:lang w:val="sv-SE" w:eastAsia="sv-SE"/>
          </w:rPr>
          <w:tab/>
        </w:r>
        <w:r w:rsidR="009C0672" w:rsidRPr="007A0962">
          <w:rPr>
            <w:rStyle w:val="Hyperlink"/>
            <w:rFonts w:cs="Arial"/>
            <w:noProof/>
          </w:rPr>
          <w:t>Specify H/S/NA attributes for IAB-DU frequency-domain resources.</w:t>
        </w:r>
      </w:hyperlink>
    </w:p>
    <w:p w14:paraId="5A5AFC70"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75" w:history="1">
        <w:r w:rsidRPr="007A0962">
          <w:rPr>
            <w:rStyle w:val="Hyperlink"/>
            <w:rFonts w:cs="Arial"/>
            <w:noProof/>
          </w:rPr>
          <w:t>Proposal 2</w:t>
        </w:r>
        <w:r>
          <w:rPr>
            <w:rFonts w:asciiTheme="minorHAnsi" w:eastAsiaTheme="minorEastAsia" w:hAnsiTheme="minorHAnsi"/>
            <w:b w:val="0"/>
            <w:noProof/>
            <w:lang w:val="sv-SE" w:eastAsia="sv-SE"/>
          </w:rPr>
          <w:tab/>
        </w:r>
        <w:r w:rsidRPr="007A0962">
          <w:rPr>
            <w:rStyle w:val="Hyperlink"/>
            <w:rFonts w:cs="Arial"/>
            <w:noProof/>
          </w:rPr>
          <w:t>The frequency-domain H/S/NA is indicated per IAB-RBG, the size of which contains integer multiples of the RBG size configured for access UE frequency-domain resource allocation.</w:t>
        </w:r>
      </w:hyperlink>
    </w:p>
    <w:p w14:paraId="6F933771"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76" w:history="1">
        <w:r w:rsidRPr="007A0962">
          <w:rPr>
            <w:rStyle w:val="Hyperlink"/>
            <w:rFonts w:cs="Arial"/>
            <w:noProof/>
          </w:rPr>
          <w:t>Proposal 3</w:t>
        </w:r>
        <w:r>
          <w:rPr>
            <w:rFonts w:asciiTheme="minorHAnsi" w:eastAsiaTheme="minorEastAsia" w:hAnsiTheme="minorHAnsi"/>
            <w:b w:val="0"/>
            <w:noProof/>
            <w:lang w:val="sv-SE" w:eastAsia="sv-SE"/>
          </w:rPr>
          <w:tab/>
        </w:r>
        <w:r w:rsidRPr="007A0962">
          <w:rPr>
            <w:rStyle w:val="Hyperlink"/>
            <w:rFonts w:cs="Arial"/>
            <w:noProof/>
          </w:rPr>
          <w:t>If a resource is configured as Hard, the IAB-DU can transmit, receive, or either transmit or receive according to its configuration only if it does not impact the IAB-MT’s ability to operate in any other resource according to the configuration of that resource.</w:t>
        </w:r>
      </w:hyperlink>
    </w:p>
    <w:p w14:paraId="7DC2D352"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77" w:history="1">
        <w:r w:rsidRPr="007A0962">
          <w:rPr>
            <w:rStyle w:val="Hyperlink"/>
            <w:rFonts w:cs="Arial"/>
            <w:noProof/>
          </w:rPr>
          <w:t>Proposal 4</w:t>
        </w:r>
        <w:r>
          <w:rPr>
            <w:rFonts w:asciiTheme="minorHAnsi" w:eastAsiaTheme="minorEastAsia" w:hAnsiTheme="minorHAnsi"/>
            <w:b w:val="0"/>
            <w:noProof/>
            <w:lang w:val="sv-SE" w:eastAsia="sv-SE"/>
          </w:rPr>
          <w:tab/>
        </w:r>
        <w:r w:rsidRPr="007A0962">
          <w:rPr>
            <w:rStyle w:val="Hyperlink"/>
            <w:rFonts w:cs="Arial"/>
            <w:noProof/>
          </w:rPr>
          <w:t>Further study whether and how to restrict IAB-DU from accessing certain space-domain resources (e.g., in terms of link, beam or angle).</w:t>
        </w:r>
      </w:hyperlink>
    </w:p>
    <w:p w14:paraId="3631F8EF"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78" w:history="1">
        <w:r w:rsidRPr="007A0962">
          <w:rPr>
            <w:rStyle w:val="Hyperlink"/>
            <w:rFonts w:cs="Arial"/>
            <w:noProof/>
          </w:rPr>
          <w:t>Proposal 5</w:t>
        </w:r>
        <w:r>
          <w:rPr>
            <w:rFonts w:asciiTheme="minorHAnsi" w:eastAsiaTheme="minorEastAsia" w:hAnsiTheme="minorHAnsi"/>
            <w:b w:val="0"/>
            <w:noProof/>
            <w:lang w:val="sv-SE" w:eastAsia="sv-SE"/>
          </w:rPr>
          <w:tab/>
        </w:r>
        <w:r w:rsidRPr="007A0962">
          <w:rPr>
            <w:rStyle w:val="Hyperlink"/>
            <w:rFonts w:cs="Arial"/>
            <w:noProof/>
          </w:rPr>
          <w:t>A default resource attribute for the IAB-DU H/S/NA resource configuration is Soft.</w:t>
        </w:r>
      </w:hyperlink>
    </w:p>
    <w:p w14:paraId="3627C450"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79" w:history="1">
        <w:r w:rsidRPr="007A0962">
          <w:rPr>
            <w:rStyle w:val="Hyperlink"/>
            <w:rFonts w:cs="Arial"/>
            <w:noProof/>
            <w:lang w:val="en-GB"/>
          </w:rPr>
          <w:t>Proposal 6</w:t>
        </w:r>
        <w:r>
          <w:rPr>
            <w:rFonts w:asciiTheme="minorHAnsi" w:eastAsiaTheme="minorEastAsia" w:hAnsiTheme="minorHAnsi"/>
            <w:b w:val="0"/>
            <w:noProof/>
            <w:lang w:val="sv-SE" w:eastAsia="sv-SE"/>
          </w:rPr>
          <w:tab/>
        </w:r>
        <w:r w:rsidRPr="007A0962">
          <w:rPr>
            <w:rStyle w:val="Hyperlink"/>
            <w:rFonts w:cs="Arial"/>
            <w:noProof/>
            <w:lang w:val="en-GB"/>
          </w:rPr>
          <w:t>A frequency-domain DU resource assigned to cell-specific/semi-static signals/channels, such as SSB transmission, PRACH reception, PDCCH transmission for Type0-PDCCH CSS sets, is always treated as if it was configured as a Hard DU resource.</w:t>
        </w:r>
      </w:hyperlink>
    </w:p>
    <w:p w14:paraId="2EA30296"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80" w:history="1">
        <w:r w:rsidRPr="007A0962">
          <w:rPr>
            <w:rStyle w:val="Hyperlink"/>
            <w:noProof/>
          </w:rPr>
          <w:t>Proposal 7</w:t>
        </w:r>
        <w:r>
          <w:rPr>
            <w:rFonts w:asciiTheme="minorHAnsi" w:eastAsiaTheme="minorEastAsia" w:hAnsiTheme="minorHAnsi"/>
            <w:b w:val="0"/>
            <w:noProof/>
            <w:lang w:val="sv-SE" w:eastAsia="sv-SE"/>
          </w:rPr>
          <w:tab/>
        </w:r>
        <w:r w:rsidRPr="007A0962">
          <w:rPr>
            <w:rStyle w:val="Hyperlink"/>
            <w:noProof/>
          </w:rPr>
          <w:t>Dedicated transmission directions in terms of DL/UL for cell-specific signals/channels should be maintained when configuring simultaneous operation at an IAB-node.</w:t>
        </w:r>
      </w:hyperlink>
    </w:p>
    <w:p w14:paraId="3EA6FFF2"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81" w:history="1">
        <w:r w:rsidRPr="007A0962">
          <w:rPr>
            <w:rStyle w:val="Hyperlink"/>
            <w:rFonts w:cs="Arial"/>
            <w:noProof/>
          </w:rPr>
          <w:t>Proposal 8</w:t>
        </w:r>
        <w:r>
          <w:rPr>
            <w:rFonts w:asciiTheme="minorHAnsi" w:eastAsiaTheme="minorEastAsia" w:hAnsiTheme="minorHAnsi"/>
            <w:b w:val="0"/>
            <w:noProof/>
            <w:lang w:val="sv-SE" w:eastAsia="sv-SE"/>
          </w:rPr>
          <w:tab/>
        </w:r>
        <w:r w:rsidRPr="007A0962">
          <w:rPr>
            <w:rStyle w:val="Hyperlink"/>
            <w:rFonts w:cs="Arial"/>
            <w:noProof/>
          </w:rPr>
          <w:t>For IAB-MT 1) an indicated UL symbol overrides the configured SSB reception; 2) an indicated DL symbol overrides the configured PRACH transmission; 3) an indicated UL symbol overrides the configured SI reception.</w:t>
        </w:r>
      </w:hyperlink>
    </w:p>
    <w:p w14:paraId="27B5BD62"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82" w:history="1">
        <w:r w:rsidRPr="007A0962">
          <w:rPr>
            <w:rStyle w:val="Hyperlink"/>
            <w:rFonts w:cs="Arial"/>
            <w:noProof/>
          </w:rPr>
          <w:t>Proposal 9</w:t>
        </w:r>
        <w:r>
          <w:rPr>
            <w:rFonts w:asciiTheme="minorHAnsi" w:eastAsiaTheme="minorEastAsia" w:hAnsiTheme="minorHAnsi"/>
            <w:b w:val="0"/>
            <w:noProof/>
            <w:lang w:val="sv-SE" w:eastAsia="sv-SE"/>
          </w:rPr>
          <w:tab/>
        </w:r>
        <w:r w:rsidRPr="007A0962">
          <w:rPr>
            <w:rStyle w:val="Hyperlink"/>
            <w:rFonts w:cs="Arial"/>
            <w:noProof/>
          </w:rPr>
          <w:t>The parent node is dynamically provided with changes of the IAB-node’s multiplexing-capability.</w:t>
        </w:r>
      </w:hyperlink>
    </w:p>
    <w:p w14:paraId="022F239C"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83" w:history="1">
        <w:r w:rsidRPr="007A0962">
          <w:rPr>
            <w:rStyle w:val="Hyperlink"/>
            <w:rFonts w:cs="Arial"/>
            <w:noProof/>
          </w:rPr>
          <w:t>Proposal 10</w:t>
        </w:r>
        <w:r>
          <w:rPr>
            <w:rFonts w:asciiTheme="minorHAnsi" w:eastAsiaTheme="minorEastAsia" w:hAnsiTheme="minorHAnsi"/>
            <w:b w:val="0"/>
            <w:noProof/>
            <w:lang w:val="sv-SE" w:eastAsia="sv-SE"/>
          </w:rPr>
          <w:tab/>
        </w:r>
        <w:r w:rsidRPr="007A0962">
          <w:rPr>
            <w:rStyle w:val="Hyperlink"/>
            <w:rFonts w:cs="Arial"/>
            <w:noProof/>
          </w:rPr>
          <w:t>Time-domain H/S/NA configuration is always provided to the IAB-node even if ”TDM not required” is indicated to the IAB-donor-CU.</w:t>
        </w:r>
      </w:hyperlink>
    </w:p>
    <w:p w14:paraId="6575C454"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84" w:history="1">
        <w:r w:rsidRPr="007A0962">
          <w:rPr>
            <w:rStyle w:val="Hyperlink"/>
            <w:rFonts w:cs="Arial"/>
            <w:noProof/>
          </w:rPr>
          <w:t>Proposal 11</w:t>
        </w:r>
        <w:r>
          <w:rPr>
            <w:rFonts w:asciiTheme="minorHAnsi" w:eastAsiaTheme="minorEastAsia" w:hAnsiTheme="minorHAnsi"/>
            <w:b w:val="0"/>
            <w:noProof/>
            <w:lang w:val="sv-SE" w:eastAsia="sv-SE"/>
          </w:rPr>
          <w:tab/>
        </w:r>
        <w:r w:rsidRPr="007A0962">
          <w:rPr>
            <w:rStyle w:val="Hyperlink"/>
            <w:rFonts w:cs="Arial"/>
            <w:noProof/>
          </w:rPr>
          <w:t>Frequency-domain H/S/NA configuration is additionally provided to the IAB-node which has indicated “TDM not required” to the IAB-donor-CU.</w:t>
        </w:r>
      </w:hyperlink>
    </w:p>
    <w:p w14:paraId="71F9AE3F"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85" w:history="1">
        <w:r w:rsidRPr="007A0962">
          <w:rPr>
            <w:rStyle w:val="Hyperlink"/>
            <w:rFonts w:cs="Arial"/>
            <w:noProof/>
          </w:rPr>
          <w:t>Proposal 12</w:t>
        </w:r>
        <w:r>
          <w:rPr>
            <w:rFonts w:asciiTheme="minorHAnsi" w:eastAsiaTheme="minorEastAsia" w:hAnsiTheme="minorHAnsi"/>
            <w:b w:val="0"/>
            <w:noProof/>
            <w:lang w:val="sv-SE" w:eastAsia="sv-SE"/>
          </w:rPr>
          <w:tab/>
        </w:r>
        <w:r w:rsidRPr="007A0962">
          <w:rPr>
            <w:rStyle w:val="Hyperlink"/>
            <w:rFonts w:cs="Arial"/>
            <w:noProof/>
          </w:rPr>
          <w:t>The parent node is aware of all IAB-DU resource configurations, including both time-domain and frequency-domain H/S/NA configurations, if provided.</w:t>
        </w:r>
      </w:hyperlink>
    </w:p>
    <w:p w14:paraId="129E8EAA"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86" w:history="1">
        <w:r w:rsidRPr="007A0962">
          <w:rPr>
            <w:rStyle w:val="Hyperlink"/>
            <w:noProof/>
          </w:rPr>
          <w:t>Proposal 13</w:t>
        </w:r>
        <w:r>
          <w:rPr>
            <w:rFonts w:asciiTheme="minorHAnsi" w:eastAsiaTheme="minorEastAsia" w:hAnsiTheme="minorHAnsi"/>
            <w:b w:val="0"/>
            <w:noProof/>
            <w:lang w:val="sv-SE" w:eastAsia="sv-SE"/>
          </w:rPr>
          <w:tab/>
        </w:r>
        <w:r w:rsidRPr="007A0962">
          <w:rPr>
            <w:rStyle w:val="Hyperlink"/>
            <w:noProof/>
          </w:rPr>
          <w:t>RAN1 should consider DCI-based signaling for explicit availability indication of frequency-domain Soft resources.</w:t>
        </w:r>
      </w:hyperlink>
    </w:p>
    <w:p w14:paraId="67D3D943"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87" w:history="1">
        <w:r w:rsidRPr="007A0962">
          <w:rPr>
            <w:rStyle w:val="Hyperlink"/>
            <w:rFonts w:cs="Arial"/>
            <w:noProof/>
            <w:lang w:eastAsia="en-GB"/>
          </w:rPr>
          <w:t>Proposal 14</w:t>
        </w:r>
        <w:r>
          <w:rPr>
            <w:rFonts w:asciiTheme="minorHAnsi" w:eastAsiaTheme="minorEastAsia" w:hAnsiTheme="minorHAnsi"/>
            <w:b w:val="0"/>
            <w:noProof/>
            <w:lang w:val="sv-SE" w:eastAsia="sv-SE"/>
          </w:rPr>
          <w:tab/>
        </w:r>
        <w:r w:rsidRPr="007A0962">
          <w:rPr>
            <w:rStyle w:val="Hyperlink"/>
            <w:rFonts w:cs="Arial"/>
            <w:noProof/>
          </w:rPr>
          <w:t xml:space="preserve">Desired/Provided Guard Symbols are signaled in multiple groups that </w:t>
        </w:r>
        <w:r w:rsidRPr="007A0962">
          <w:rPr>
            <w:rStyle w:val="Hyperlink"/>
            <w:rFonts w:cs="Arial"/>
            <w:noProof/>
            <w:lang w:eastAsia="en-GB"/>
          </w:rPr>
          <w:t xml:space="preserve">covers all switching combinations among </w:t>
        </w:r>
        <w:r w:rsidRPr="007A0962">
          <w:rPr>
            <w:rStyle w:val="Hyperlink"/>
            <w:rFonts w:cs="Arial"/>
            <w:noProof/>
          </w:rPr>
          <w:t>Case #1, Case #6 and Case #7 timing alignment.</w:t>
        </w:r>
      </w:hyperlink>
    </w:p>
    <w:p w14:paraId="4542C072"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88" w:history="1">
        <w:r w:rsidRPr="007A0962">
          <w:rPr>
            <w:rStyle w:val="Hyperlink"/>
            <w:noProof/>
          </w:rPr>
          <w:t>Proposal 15</w:t>
        </w:r>
        <w:r>
          <w:rPr>
            <w:rFonts w:asciiTheme="minorHAnsi" w:eastAsiaTheme="minorEastAsia" w:hAnsiTheme="minorHAnsi"/>
            <w:b w:val="0"/>
            <w:noProof/>
            <w:lang w:val="sv-SE" w:eastAsia="sv-SE"/>
          </w:rPr>
          <w:tab/>
        </w:r>
        <w:r w:rsidRPr="007A0962">
          <w:rPr>
            <w:rStyle w:val="Hyperlink"/>
            <w:noProof/>
          </w:rPr>
          <w:t>It is assumed that to determine the availability of the per-cell DU soft resource by explicit indication, the IAB node should take into consideration of all received DCI format 2_5 from collocated MT carriers associated to the same DU cell.</w:t>
        </w:r>
      </w:hyperlink>
    </w:p>
    <w:p w14:paraId="2CDDBED7"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89" w:history="1">
        <w:r w:rsidRPr="007A0962">
          <w:rPr>
            <w:rStyle w:val="Hyperlink"/>
            <w:noProof/>
          </w:rPr>
          <w:t>Proposal 16</w:t>
        </w:r>
        <w:r>
          <w:rPr>
            <w:rFonts w:asciiTheme="minorHAnsi" w:eastAsiaTheme="minorEastAsia" w:hAnsiTheme="minorHAnsi"/>
            <w:b w:val="0"/>
            <w:noProof/>
            <w:lang w:val="sv-SE" w:eastAsia="sv-SE"/>
          </w:rPr>
          <w:tab/>
        </w:r>
        <w:r w:rsidRPr="007A0962">
          <w:rPr>
            <w:rStyle w:val="Hyperlink"/>
            <w:noProof/>
          </w:rPr>
          <w:t>For inter-carrier (inter-band and intra-band) DC, the donor-CU can be made aware of the IAB-MT’s capability regarding simultaneous transmission and reception on multiple serving cells in a frequency band, configured by two parent nodes.</w:t>
        </w:r>
      </w:hyperlink>
    </w:p>
    <w:p w14:paraId="51EF0762"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90" w:history="1">
        <w:r w:rsidRPr="007A0962">
          <w:rPr>
            <w:rStyle w:val="Hyperlink"/>
            <w:noProof/>
          </w:rPr>
          <w:t>Proposal 17</w:t>
        </w:r>
        <w:r>
          <w:rPr>
            <w:rFonts w:asciiTheme="minorHAnsi" w:eastAsiaTheme="minorEastAsia" w:hAnsiTheme="minorHAnsi"/>
            <w:b w:val="0"/>
            <w:noProof/>
            <w:lang w:val="sv-SE" w:eastAsia="sv-SE"/>
          </w:rPr>
          <w:tab/>
        </w:r>
        <w:r w:rsidRPr="007A0962">
          <w:rPr>
            <w:rStyle w:val="Hyperlink"/>
            <w:noProof/>
          </w:rPr>
          <w:t>If an IAB-MT is not capable of simultaneous transmission and reception on any pair of the multiple serving cells in the frequency band configured for two parent nodes, the IAB-MT can assume all serving cells configured for the two parent nodes have aligned UL/DL directions.</w:t>
        </w:r>
      </w:hyperlink>
    </w:p>
    <w:p w14:paraId="59FB2D2A" w14:textId="7776DC7B"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r w:rsidRPr="009C0672">
        <w:rPr>
          <w:rStyle w:val="Hyperlink"/>
          <w:noProof/>
          <w:u w:val="none"/>
        </w:rPr>
        <w:tab/>
      </w:r>
      <w:hyperlink w:anchor="_Toc61903491" w:history="1">
        <w:r w:rsidRPr="007A0962">
          <w:rPr>
            <w:rStyle w:val="Hyperlink"/>
            <w:noProof/>
          </w:rPr>
          <w:t>FFS: the IAB-MT’s assumption of aligned UL/DL directions in inter-band and intra-band DC.</w:t>
        </w:r>
      </w:hyperlink>
    </w:p>
    <w:p w14:paraId="14009A0C" w14:textId="25F55E09"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r w:rsidRPr="009C0672">
        <w:rPr>
          <w:rStyle w:val="Hyperlink"/>
          <w:noProof/>
          <w:u w:val="none"/>
        </w:rPr>
        <w:tab/>
      </w:r>
      <w:hyperlink w:anchor="_Toc61903492" w:history="1">
        <w:r w:rsidRPr="007A0962">
          <w:rPr>
            <w:rStyle w:val="Hyperlink"/>
            <w:noProof/>
          </w:rPr>
          <w:t>FFS: the IAB-MT’s behavior to handle the configuration conflict.</w:t>
        </w:r>
      </w:hyperlink>
    </w:p>
    <w:p w14:paraId="76228683"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93" w:history="1">
        <w:r w:rsidRPr="007A0962">
          <w:rPr>
            <w:rStyle w:val="Hyperlink"/>
            <w:noProof/>
          </w:rPr>
          <w:t>Proposal 18</w:t>
        </w:r>
        <w:r>
          <w:rPr>
            <w:rFonts w:asciiTheme="minorHAnsi" w:eastAsiaTheme="minorEastAsia" w:hAnsiTheme="minorHAnsi"/>
            <w:b w:val="0"/>
            <w:noProof/>
            <w:lang w:val="sv-SE" w:eastAsia="sv-SE"/>
          </w:rPr>
          <w:tab/>
        </w:r>
        <w:r w:rsidRPr="007A0962">
          <w:rPr>
            <w:rStyle w:val="Hyperlink"/>
            <w:noProof/>
          </w:rPr>
          <w:t>A parent-node can be made aware of the DU resource configuration of the other peer parent node that connects to the same IAB node.</w:t>
        </w:r>
      </w:hyperlink>
    </w:p>
    <w:p w14:paraId="258F4CB9" w14:textId="77777777" w:rsidR="009C0672" w:rsidRDefault="009C0672" w:rsidP="004535C1">
      <w:pPr>
        <w:pStyle w:val="TableofFigures"/>
        <w:tabs>
          <w:tab w:val="right" w:leader="dot" w:pos="9629"/>
        </w:tabs>
        <w:jc w:val="both"/>
        <w:rPr>
          <w:rFonts w:asciiTheme="minorHAnsi" w:eastAsiaTheme="minorEastAsia" w:hAnsiTheme="minorHAnsi"/>
          <w:b w:val="0"/>
          <w:noProof/>
          <w:lang w:val="sv-SE" w:eastAsia="sv-SE"/>
        </w:rPr>
      </w:pPr>
      <w:hyperlink w:anchor="_Toc61903494" w:history="1">
        <w:r w:rsidRPr="007A0962">
          <w:rPr>
            <w:rStyle w:val="Hyperlink"/>
            <w:noProof/>
          </w:rPr>
          <w:t>Proposal 19</w:t>
        </w:r>
        <w:r>
          <w:rPr>
            <w:rFonts w:asciiTheme="minorHAnsi" w:eastAsiaTheme="minorEastAsia" w:hAnsiTheme="minorHAnsi"/>
            <w:b w:val="0"/>
            <w:noProof/>
            <w:lang w:val="sv-SE" w:eastAsia="sv-SE"/>
          </w:rPr>
          <w:tab/>
        </w:r>
        <w:r w:rsidRPr="007A0962">
          <w:rPr>
            <w:rStyle w:val="Hyperlink"/>
            <w:noProof/>
          </w:rPr>
          <w:t>Consider Multi-MT as an alternative to enable intra-carrier multi-parent operation for enhanced IAB.</w:t>
        </w:r>
      </w:hyperlink>
    </w:p>
    <w:p w14:paraId="72172EF6" w14:textId="057F15E0" w:rsidR="00C01F33" w:rsidRPr="0036208A" w:rsidRDefault="006E1C82" w:rsidP="004535C1">
      <w:pPr>
        <w:pStyle w:val="BodyText"/>
      </w:pPr>
      <w:r w:rsidRPr="00734180">
        <w:rPr>
          <w:sz w:val="20"/>
          <w:szCs w:val="20"/>
        </w:rPr>
        <w:fldChar w:fldCharType="end"/>
      </w:r>
      <w:bookmarkEnd w:id="154"/>
    </w:p>
    <w:p w14:paraId="7E718661" w14:textId="77777777" w:rsidR="00F507D1" w:rsidRPr="0036208A" w:rsidRDefault="00F507D1" w:rsidP="00496476">
      <w:pPr>
        <w:pStyle w:val="Heading1"/>
        <w:ind w:left="0" w:firstLine="0"/>
        <w:jc w:val="both"/>
        <w:rPr>
          <w:lang w:val="en-US"/>
        </w:rPr>
      </w:pPr>
      <w:bookmarkStart w:id="155" w:name="_In-sequence_SDU_delivery"/>
      <w:bookmarkEnd w:id="155"/>
      <w:r w:rsidRPr="0036208A">
        <w:rPr>
          <w:lang w:val="en-US"/>
        </w:rPr>
        <w:t>References</w:t>
      </w:r>
    </w:p>
    <w:p w14:paraId="3B4655CD" w14:textId="4784E4FB" w:rsidR="006C483D" w:rsidRPr="00734180" w:rsidRDefault="006C483D" w:rsidP="00496476">
      <w:pPr>
        <w:pStyle w:val="Reference"/>
        <w:spacing w:after="160"/>
        <w:rPr>
          <w:sz w:val="20"/>
          <w:szCs w:val="20"/>
        </w:rPr>
      </w:pPr>
      <w:bookmarkStart w:id="156" w:name="_Ref534962701"/>
      <w:bookmarkStart w:id="157" w:name="_Ref57281096"/>
      <w:bookmarkStart w:id="158" w:name="_Ref174151459"/>
      <w:bookmarkStart w:id="159" w:name="_Ref189809556"/>
      <w:r w:rsidRPr="00734180">
        <w:rPr>
          <w:rFonts w:cs="Arial"/>
          <w:sz w:val="20"/>
          <w:szCs w:val="20"/>
        </w:rPr>
        <w:t xml:space="preserve">RP-201293, </w:t>
      </w:r>
      <w:r w:rsidR="009D125E" w:rsidRPr="00734180">
        <w:rPr>
          <w:rFonts w:cs="Arial"/>
          <w:sz w:val="20"/>
          <w:szCs w:val="20"/>
        </w:rPr>
        <w:t>“</w:t>
      </w:r>
      <w:r w:rsidRPr="00734180">
        <w:rPr>
          <w:rFonts w:cs="Arial"/>
          <w:sz w:val="20"/>
          <w:szCs w:val="20"/>
        </w:rPr>
        <w:t>New WID</w:t>
      </w:r>
      <w:r w:rsidRPr="00734180">
        <w:rPr>
          <w:sz w:val="20"/>
          <w:szCs w:val="20"/>
        </w:rPr>
        <w:t xml:space="preserve"> </w:t>
      </w:r>
      <w:r w:rsidRPr="00734180">
        <w:rPr>
          <w:rFonts w:cs="Arial"/>
          <w:sz w:val="20"/>
          <w:szCs w:val="20"/>
        </w:rPr>
        <w:t>on Enhancements to Integrated Access and Backhaul,</w:t>
      </w:r>
      <w:r w:rsidR="009D125E" w:rsidRPr="00734180">
        <w:rPr>
          <w:rFonts w:cs="Arial"/>
          <w:sz w:val="20"/>
          <w:szCs w:val="20"/>
        </w:rPr>
        <w:t>”</w:t>
      </w:r>
      <w:r w:rsidRPr="00734180">
        <w:rPr>
          <w:rFonts w:cs="Arial"/>
          <w:sz w:val="20"/>
          <w:szCs w:val="20"/>
        </w:rPr>
        <w:t xml:space="preserve"> Qualcomm, RAN #88e, June 2020.</w:t>
      </w:r>
      <w:bookmarkEnd w:id="156"/>
    </w:p>
    <w:p w14:paraId="0E84AFA0" w14:textId="2D9D7017" w:rsidR="00CE235E" w:rsidRPr="00734180" w:rsidRDefault="00CE235E" w:rsidP="00496476">
      <w:pPr>
        <w:pStyle w:val="Reference"/>
        <w:spacing w:after="160"/>
        <w:rPr>
          <w:sz w:val="20"/>
          <w:szCs w:val="20"/>
        </w:rPr>
      </w:pPr>
      <w:bookmarkStart w:id="160" w:name="_Ref61862761"/>
      <w:r w:rsidRPr="00734180">
        <w:rPr>
          <w:rFonts w:cs="Arial"/>
          <w:sz w:val="20"/>
          <w:szCs w:val="20"/>
        </w:rPr>
        <w:t>R1-</w:t>
      </w:r>
      <w:r w:rsidR="00193681" w:rsidRPr="00734180">
        <w:rPr>
          <w:rFonts w:cs="Arial"/>
          <w:sz w:val="20"/>
          <w:szCs w:val="20"/>
        </w:rPr>
        <w:t>2101696</w:t>
      </w:r>
      <w:r w:rsidRPr="00734180">
        <w:rPr>
          <w:rFonts w:cs="Arial"/>
          <w:sz w:val="20"/>
          <w:szCs w:val="20"/>
        </w:rPr>
        <w:t xml:space="preserve">, </w:t>
      </w:r>
      <w:r w:rsidR="009D125E" w:rsidRPr="00734180">
        <w:rPr>
          <w:rFonts w:cs="Arial"/>
          <w:sz w:val="20"/>
          <w:szCs w:val="20"/>
        </w:rPr>
        <w:t>“</w:t>
      </w:r>
      <w:r w:rsidRPr="00734180">
        <w:rPr>
          <w:rFonts w:cs="Arial"/>
          <w:sz w:val="20"/>
          <w:szCs w:val="20"/>
        </w:rPr>
        <w:t>Timing, CLI and power control in enhanced IAB,</w:t>
      </w:r>
      <w:r w:rsidR="009D125E" w:rsidRPr="00734180">
        <w:rPr>
          <w:rFonts w:cs="Arial"/>
          <w:sz w:val="20"/>
          <w:szCs w:val="20"/>
        </w:rPr>
        <w:t>”</w:t>
      </w:r>
      <w:r w:rsidRPr="00734180">
        <w:rPr>
          <w:rFonts w:cs="Arial"/>
          <w:sz w:val="20"/>
          <w:szCs w:val="20"/>
        </w:rPr>
        <w:t xml:space="preserve"> Ericsson, RAN1 #104e, January 2021</w:t>
      </w:r>
      <w:bookmarkEnd w:id="160"/>
      <w:r w:rsidR="009D125E" w:rsidRPr="00734180">
        <w:rPr>
          <w:rFonts w:cs="Arial"/>
          <w:sz w:val="20"/>
          <w:szCs w:val="20"/>
        </w:rPr>
        <w:t>.</w:t>
      </w:r>
    </w:p>
    <w:p w14:paraId="0BE1DFCD" w14:textId="1DFA6F21" w:rsidR="001B2CE3" w:rsidRPr="00734180" w:rsidRDefault="001B2CE3" w:rsidP="00496476">
      <w:pPr>
        <w:pStyle w:val="Reference"/>
        <w:spacing w:after="160"/>
        <w:rPr>
          <w:sz w:val="20"/>
          <w:szCs w:val="20"/>
        </w:rPr>
      </w:pPr>
      <w:bookmarkStart w:id="161" w:name="_Ref61889099"/>
      <w:r w:rsidRPr="00734180">
        <w:rPr>
          <w:rFonts w:cs="Arial"/>
          <w:sz w:val="20"/>
          <w:szCs w:val="20"/>
        </w:rPr>
        <w:t>R1-2101697, “Response to RAN3 LS on inter-donor topology redundancy,” Ericsson, RAN1 #104e, January 2021.</w:t>
      </w:r>
      <w:bookmarkEnd w:id="161"/>
    </w:p>
    <w:p w14:paraId="002E3F87" w14:textId="646881C5" w:rsidR="006C483D" w:rsidRPr="00734180" w:rsidRDefault="009D125E" w:rsidP="00496476">
      <w:pPr>
        <w:pStyle w:val="Reference"/>
        <w:spacing w:after="160"/>
        <w:rPr>
          <w:sz w:val="20"/>
          <w:szCs w:val="20"/>
        </w:rPr>
      </w:pPr>
      <w:bookmarkStart w:id="162" w:name="_Ref476919366"/>
      <w:bookmarkStart w:id="163" w:name="_Ref454459437"/>
      <w:r w:rsidRPr="00734180">
        <w:rPr>
          <w:rFonts w:cs="Arial"/>
          <w:sz w:val="20"/>
          <w:szCs w:val="20"/>
        </w:rPr>
        <w:t>“</w:t>
      </w:r>
      <w:r w:rsidR="006C483D" w:rsidRPr="00734180">
        <w:rPr>
          <w:rFonts w:cs="Arial"/>
          <w:sz w:val="20"/>
          <w:szCs w:val="20"/>
        </w:rPr>
        <w:t>Chairman’s Notes</w:t>
      </w:r>
      <w:r w:rsidRPr="00734180">
        <w:rPr>
          <w:rFonts w:cs="Arial"/>
          <w:sz w:val="20"/>
          <w:szCs w:val="20"/>
        </w:rPr>
        <w:t>”</w:t>
      </w:r>
      <w:r w:rsidR="006C483D" w:rsidRPr="00734180">
        <w:rPr>
          <w:rFonts w:cs="Arial"/>
          <w:sz w:val="20"/>
          <w:szCs w:val="20"/>
        </w:rPr>
        <w:t>, 3GPP TSG RAN WG1 Meeting #</w:t>
      </w:r>
      <w:r w:rsidR="004F538E" w:rsidRPr="00734180">
        <w:rPr>
          <w:rFonts w:cs="Arial"/>
          <w:sz w:val="20"/>
          <w:szCs w:val="20"/>
        </w:rPr>
        <w:t>103e</w:t>
      </w:r>
      <w:r w:rsidR="006C483D" w:rsidRPr="00734180">
        <w:rPr>
          <w:rFonts w:cs="Arial"/>
          <w:sz w:val="20"/>
          <w:szCs w:val="20"/>
        </w:rPr>
        <w:t xml:space="preserve">, </w:t>
      </w:r>
      <w:r w:rsidR="004F538E" w:rsidRPr="00734180">
        <w:rPr>
          <w:rFonts w:cs="Arial"/>
          <w:sz w:val="20"/>
          <w:szCs w:val="20"/>
        </w:rPr>
        <w:t>October</w:t>
      </w:r>
      <w:r w:rsidR="006C483D" w:rsidRPr="00734180">
        <w:rPr>
          <w:rFonts w:cs="Arial"/>
          <w:sz w:val="20"/>
          <w:szCs w:val="20"/>
        </w:rPr>
        <w:t xml:space="preserve"> 20</w:t>
      </w:r>
      <w:r w:rsidR="004F538E" w:rsidRPr="00734180">
        <w:rPr>
          <w:rFonts w:cs="Arial"/>
          <w:sz w:val="20"/>
          <w:szCs w:val="20"/>
        </w:rPr>
        <w:t>20</w:t>
      </w:r>
      <w:r w:rsidR="006C483D" w:rsidRPr="00734180">
        <w:rPr>
          <w:rFonts w:cs="Arial"/>
          <w:sz w:val="20"/>
          <w:szCs w:val="20"/>
        </w:rPr>
        <w:t>.</w:t>
      </w:r>
      <w:bookmarkEnd w:id="162"/>
      <w:bookmarkEnd w:id="163"/>
    </w:p>
    <w:p w14:paraId="6EC784A0" w14:textId="534DEA5E" w:rsidR="004F538E" w:rsidRPr="00734180" w:rsidRDefault="009D125E" w:rsidP="00496476">
      <w:pPr>
        <w:pStyle w:val="Reference"/>
        <w:spacing w:after="160"/>
        <w:rPr>
          <w:sz w:val="20"/>
          <w:szCs w:val="20"/>
        </w:rPr>
      </w:pPr>
      <w:bookmarkStart w:id="164" w:name="_Ref58869165"/>
      <w:r w:rsidRPr="00734180">
        <w:rPr>
          <w:rFonts w:cs="Arial"/>
          <w:sz w:val="20"/>
          <w:szCs w:val="20"/>
        </w:rPr>
        <w:t>“</w:t>
      </w:r>
      <w:r w:rsidR="004F538E" w:rsidRPr="00734180">
        <w:rPr>
          <w:rFonts w:cs="Arial"/>
          <w:sz w:val="20"/>
          <w:szCs w:val="20"/>
        </w:rPr>
        <w:t>Chairman’s Notes</w:t>
      </w:r>
      <w:r w:rsidRPr="00734180">
        <w:rPr>
          <w:rFonts w:cs="Arial"/>
          <w:sz w:val="20"/>
          <w:szCs w:val="20"/>
        </w:rPr>
        <w:t>”</w:t>
      </w:r>
      <w:r w:rsidR="004F538E" w:rsidRPr="00734180">
        <w:rPr>
          <w:rFonts w:cs="Arial"/>
          <w:sz w:val="20"/>
          <w:szCs w:val="20"/>
        </w:rPr>
        <w:t>, 3GPP TSG RAN WG1 Meeting #98, August 2019.</w:t>
      </w:r>
      <w:bookmarkEnd w:id="164"/>
    </w:p>
    <w:p w14:paraId="1857FEF8" w14:textId="7CFAAFB4" w:rsidR="006C483D" w:rsidRPr="00734180" w:rsidRDefault="006C483D" w:rsidP="00496476">
      <w:pPr>
        <w:pStyle w:val="Reference"/>
        <w:spacing w:after="160"/>
        <w:rPr>
          <w:sz w:val="20"/>
          <w:szCs w:val="20"/>
        </w:rPr>
      </w:pPr>
      <w:bookmarkStart w:id="165" w:name="_Ref58868861"/>
      <w:r w:rsidRPr="00734180">
        <w:rPr>
          <w:rFonts w:cs="Arial"/>
          <w:sz w:val="20"/>
          <w:szCs w:val="20"/>
        </w:rPr>
        <w:t>TS 37.340, “Multi-connectivity,</w:t>
      </w:r>
      <w:r w:rsidR="009D125E" w:rsidRPr="00734180">
        <w:rPr>
          <w:rFonts w:cs="Arial"/>
          <w:sz w:val="20"/>
          <w:szCs w:val="20"/>
        </w:rPr>
        <w:t>”</w:t>
      </w:r>
      <w:r w:rsidRPr="00734180">
        <w:rPr>
          <w:rFonts w:cs="Arial"/>
          <w:sz w:val="20"/>
          <w:szCs w:val="20"/>
        </w:rPr>
        <w:t xml:space="preserve"> </w:t>
      </w:r>
      <w:r w:rsidR="00D7615F" w:rsidRPr="00734180">
        <w:rPr>
          <w:rFonts w:cs="Arial"/>
          <w:sz w:val="20"/>
          <w:szCs w:val="20"/>
        </w:rPr>
        <w:t xml:space="preserve">3GPP, </w:t>
      </w:r>
      <w:r w:rsidRPr="00734180">
        <w:rPr>
          <w:rFonts w:cs="Arial"/>
          <w:sz w:val="20"/>
          <w:szCs w:val="20"/>
        </w:rPr>
        <w:t>V16.3.0, September 2020</w:t>
      </w:r>
      <w:bookmarkEnd w:id="157"/>
      <w:r w:rsidRPr="00734180">
        <w:rPr>
          <w:rFonts w:cs="Arial"/>
          <w:sz w:val="20"/>
          <w:szCs w:val="20"/>
        </w:rPr>
        <w:t>.</w:t>
      </w:r>
      <w:bookmarkEnd w:id="165"/>
    </w:p>
    <w:p w14:paraId="056D89DB" w14:textId="3E2EAFF0" w:rsidR="004B19C3" w:rsidRPr="00734180" w:rsidRDefault="004B19C3" w:rsidP="00496476">
      <w:pPr>
        <w:pStyle w:val="Reference"/>
        <w:spacing w:after="160"/>
        <w:rPr>
          <w:sz w:val="20"/>
          <w:szCs w:val="20"/>
        </w:rPr>
      </w:pPr>
      <w:bookmarkStart w:id="166" w:name="_Ref57281322"/>
      <w:bookmarkStart w:id="167" w:name="_Ref59131276"/>
      <w:r w:rsidRPr="00734180">
        <w:rPr>
          <w:sz w:val="20"/>
          <w:szCs w:val="20"/>
        </w:rPr>
        <w:t>TR 38.874, “Study on Integrated Access and Backhaul,</w:t>
      </w:r>
      <w:r w:rsidR="009D125E" w:rsidRPr="00734180">
        <w:rPr>
          <w:sz w:val="20"/>
          <w:szCs w:val="20"/>
        </w:rPr>
        <w:t>”</w:t>
      </w:r>
      <w:r w:rsidRPr="00734180">
        <w:rPr>
          <w:sz w:val="20"/>
          <w:szCs w:val="20"/>
        </w:rPr>
        <w:t xml:space="preserve"> </w:t>
      </w:r>
      <w:r w:rsidR="00D7615F" w:rsidRPr="00734180">
        <w:rPr>
          <w:sz w:val="20"/>
          <w:szCs w:val="20"/>
        </w:rPr>
        <w:t xml:space="preserve">3GPP, </w:t>
      </w:r>
      <w:r w:rsidRPr="00734180">
        <w:rPr>
          <w:sz w:val="20"/>
          <w:szCs w:val="20"/>
        </w:rPr>
        <w:t>V16.0.0, December 2018</w:t>
      </w:r>
      <w:bookmarkEnd w:id="166"/>
      <w:r w:rsidRPr="00734180">
        <w:rPr>
          <w:sz w:val="20"/>
          <w:szCs w:val="20"/>
        </w:rPr>
        <w:t>.</w:t>
      </w:r>
      <w:bookmarkEnd w:id="167"/>
    </w:p>
    <w:p w14:paraId="1987AFBC" w14:textId="47843587" w:rsidR="004B19C3" w:rsidRPr="00734180" w:rsidRDefault="004B19C3" w:rsidP="00496476">
      <w:pPr>
        <w:pStyle w:val="Reference"/>
        <w:spacing w:after="160"/>
        <w:rPr>
          <w:sz w:val="20"/>
          <w:szCs w:val="20"/>
        </w:rPr>
      </w:pPr>
      <w:bookmarkStart w:id="168" w:name="_Ref57281048"/>
      <w:bookmarkStart w:id="169" w:name="_Ref59131292"/>
      <w:r w:rsidRPr="00734180">
        <w:rPr>
          <w:rFonts w:cs="Arial"/>
          <w:sz w:val="20"/>
          <w:szCs w:val="20"/>
        </w:rPr>
        <w:lastRenderedPageBreak/>
        <w:t>TS 38.300, “NR and NG-RAN Overall Description,</w:t>
      </w:r>
      <w:r w:rsidR="009D125E" w:rsidRPr="00734180">
        <w:rPr>
          <w:rFonts w:cs="Arial"/>
          <w:sz w:val="20"/>
          <w:szCs w:val="20"/>
        </w:rPr>
        <w:t>”</w:t>
      </w:r>
      <w:r w:rsidRPr="00734180">
        <w:rPr>
          <w:rFonts w:cs="Arial"/>
          <w:sz w:val="20"/>
          <w:szCs w:val="20"/>
        </w:rPr>
        <w:t xml:space="preserve"> </w:t>
      </w:r>
      <w:r w:rsidR="00D7615F" w:rsidRPr="00734180">
        <w:rPr>
          <w:rFonts w:cs="Arial"/>
          <w:sz w:val="20"/>
          <w:szCs w:val="20"/>
        </w:rPr>
        <w:t xml:space="preserve">3GPP, </w:t>
      </w:r>
      <w:r w:rsidRPr="00734180">
        <w:rPr>
          <w:rFonts w:cs="Arial"/>
          <w:sz w:val="20"/>
          <w:szCs w:val="20"/>
        </w:rPr>
        <w:t>V16.3.0, September 2020</w:t>
      </w:r>
      <w:bookmarkEnd w:id="168"/>
      <w:r w:rsidRPr="00734180">
        <w:rPr>
          <w:rFonts w:cs="Arial"/>
          <w:sz w:val="20"/>
          <w:szCs w:val="20"/>
        </w:rPr>
        <w:t>.</w:t>
      </w:r>
      <w:bookmarkEnd w:id="169"/>
    </w:p>
    <w:p w14:paraId="47AA4BAA" w14:textId="3750E5C4" w:rsidR="00660091" w:rsidRPr="00734180" w:rsidRDefault="00660091" w:rsidP="00496476">
      <w:pPr>
        <w:pStyle w:val="Reference"/>
        <w:spacing w:after="160"/>
        <w:rPr>
          <w:sz w:val="20"/>
          <w:szCs w:val="20"/>
        </w:rPr>
      </w:pPr>
      <w:bookmarkStart w:id="170" w:name="_Ref59109719"/>
      <w:r w:rsidRPr="00734180">
        <w:rPr>
          <w:sz w:val="20"/>
          <w:szCs w:val="20"/>
        </w:rPr>
        <w:t xml:space="preserve">R1-1912282, </w:t>
      </w:r>
      <w:r w:rsidR="009D125E" w:rsidRPr="00734180">
        <w:rPr>
          <w:sz w:val="20"/>
          <w:szCs w:val="20"/>
        </w:rPr>
        <w:t>“</w:t>
      </w:r>
      <w:r w:rsidRPr="00734180">
        <w:rPr>
          <w:sz w:val="20"/>
          <w:szCs w:val="20"/>
        </w:rPr>
        <w:t>Half-duplex operation in CA based on [95-NR-06],</w:t>
      </w:r>
      <w:r w:rsidR="009D125E" w:rsidRPr="00734180">
        <w:rPr>
          <w:sz w:val="20"/>
          <w:szCs w:val="20"/>
        </w:rPr>
        <w:t>”</w:t>
      </w:r>
      <w:r w:rsidRPr="00734180">
        <w:rPr>
          <w:sz w:val="20"/>
          <w:szCs w:val="20"/>
        </w:rPr>
        <w:t xml:space="preserve"> Nokia, RAN1 #99, November 2019</w:t>
      </w:r>
      <w:bookmarkEnd w:id="170"/>
      <w:r w:rsidR="009D125E" w:rsidRPr="00734180">
        <w:rPr>
          <w:sz w:val="20"/>
          <w:szCs w:val="20"/>
        </w:rPr>
        <w:t>.</w:t>
      </w:r>
    </w:p>
    <w:p w14:paraId="3A393677" w14:textId="4A93ECE6" w:rsidR="00660091" w:rsidRPr="00734180" w:rsidRDefault="00660091" w:rsidP="00496476">
      <w:pPr>
        <w:pStyle w:val="Reference"/>
        <w:spacing w:after="160"/>
        <w:rPr>
          <w:sz w:val="20"/>
          <w:szCs w:val="20"/>
        </w:rPr>
      </w:pPr>
      <w:bookmarkStart w:id="171" w:name="_Ref59109799"/>
      <w:r w:rsidRPr="00734180">
        <w:rPr>
          <w:sz w:val="20"/>
          <w:szCs w:val="20"/>
        </w:rPr>
        <w:t xml:space="preserve">TS 38.213, “NR; Physical layer procedures for control (Release 16)”, </w:t>
      </w:r>
      <w:r w:rsidR="00D7615F" w:rsidRPr="00734180">
        <w:rPr>
          <w:sz w:val="20"/>
          <w:szCs w:val="20"/>
        </w:rPr>
        <w:t xml:space="preserve">3GPP, </w:t>
      </w:r>
      <w:r w:rsidRPr="00734180">
        <w:rPr>
          <w:sz w:val="20"/>
          <w:szCs w:val="20"/>
        </w:rPr>
        <w:t>V16.3.0, October 2020</w:t>
      </w:r>
      <w:bookmarkEnd w:id="171"/>
      <w:r w:rsidR="009D125E" w:rsidRPr="00734180">
        <w:rPr>
          <w:sz w:val="20"/>
          <w:szCs w:val="20"/>
        </w:rPr>
        <w:t>.</w:t>
      </w:r>
    </w:p>
    <w:p w14:paraId="6B0EA3B1" w14:textId="7A71C8BA" w:rsidR="00A04FE6" w:rsidRPr="00734180" w:rsidRDefault="00A04FE6" w:rsidP="00496476">
      <w:pPr>
        <w:pStyle w:val="Reference"/>
        <w:spacing w:after="160"/>
        <w:rPr>
          <w:sz w:val="20"/>
          <w:szCs w:val="20"/>
        </w:rPr>
      </w:pPr>
      <w:bookmarkStart w:id="172" w:name="_Ref61358944"/>
      <w:r w:rsidRPr="00734180">
        <w:rPr>
          <w:sz w:val="20"/>
          <w:szCs w:val="20"/>
        </w:rPr>
        <w:t xml:space="preserve">RP-202626, </w:t>
      </w:r>
      <w:r w:rsidR="009D125E" w:rsidRPr="00734180">
        <w:rPr>
          <w:sz w:val="20"/>
          <w:szCs w:val="20"/>
        </w:rPr>
        <w:t>“</w:t>
      </w:r>
      <w:r w:rsidRPr="00734180">
        <w:rPr>
          <w:sz w:val="20"/>
          <w:szCs w:val="20"/>
        </w:rPr>
        <w:t>Support of DC scenarios in Rel-17 enhanced IAB,</w:t>
      </w:r>
      <w:r w:rsidR="009D125E" w:rsidRPr="00734180">
        <w:rPr>
          <w:sz w:val="20"/>
          <w:szCs w:val="20"/>
        </w:rPr>
        <w:t>”</w:t>
      </w:r>
      <w:r w:rsidRPr="00734180">
        <w:rPr>
          <w:sz w:val="20"/>
          <w:szCs w:val="20"/>
        </w:rPr>
        <w:t xml:space="preserve"> Ericsson, November 2020</w:t>
      </w:r>
      <w:bookmarkEnd w:id="172"/>
      <w:r w:rsidR="009D125E" w:rsidRPr="00734180">
        <w:rPr>
          <w:sz w:val="20"/>
          <w:szCs w:val="20"/>
        </w:rPr>
        <w:t>.</w:t>
      </w:r>
    </w:p>
    <w:bookmarkEnd w:id="158"/>
    <w:bookmarkEnd w:id="159"/>
    <w:p w14:paraId="2CD75387" w14:textId="77777777" w:rsidR="003A7EF3" w:rsidRPr="0036208A" w:rsidRDefault="003A7EF3" w:rsidP="00496476">
      <w:pPr>
        <w:pStyle w:val="BodyText"/>
      </w:pPr>
    </w:p>
    <w:sectPr w:rsidR="003A7EF3" w:rsidRPr="0036208A"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4A726" w16cex:dateUtc="2020-12-16T14:32:00Z"/>
  <w16cex:commentExtensible w16cex:durableId="23849551" w16cex:dateUtc="2020-12-16T13:16:00Z"/>
  <w16cex:commentExtensible w16cex:durableId="2386150C" w16cex:dateUtc="2020-12-17T16:34:00Z"/>
  <w16cex:commentExtensible w16cex:durableId="238614FD" w16cex:dateUtc="2020-12-17T16:33:00Z"/>
  <w16cex:commentExtensible w16cex:durableId="23B05B68" w16cex:dateUtc="2021-01-18T18:07:00Z"/>
  <w16cex:commentExtensible w16cex:durableId="2384969A" w16cex:dateUtc="2020-12-16T13:22:00Z"/>
  <w16cex:commentExtensible w16cex:durableId="23849912" w16cex:dateUtc="2020-12-16T13:32:00Z"/>
  <w16cex:commentExtensible w16cex:durableId="238499DB" w16cex:dateUtc="2020-12-16T13:36:00Z"/>
  <w16cex:commentExtensible w16cex:durableId="23849D73" w16cex:dateUtc="2020-12-16T13:51:00Z"/>
  <w16cex:commentExtensible w16cex:durableId="23849E1C" w16cex:dateUtc="2020-12-16T13:54:00Z"/>
  <w16cex:commentExtensible w16cex:durableId="2384A0FA" w16cex:dateUtc="2020-12-16T14:06:00Z"/>
  <w16cex:commentExtensible w16cex:durableId="2384A2A2" w16cex:dateUtc="2020-12-16T14:13:00Z"/>
  <w16cex:commentExtensible w16cex:durableId="23A823A4" w16cex:dateUtc="2021-01-12T12:33:00Z"/>
  <w16cex:commentExtensible w16cex:durableId="2384A33D" w16cex:dateUtc="2020-12-16T14:16:00Z"/>
  <w16cex:commentExtensible w16cex:durableId="2384A669" w16cex:dateUtc="2020-12-16T14:29:00Z"/>
  <w16cex:commentExtensible w16cex:durableId="2384A7BA" w16cex:dateUtc="2020-12-16T14:35:00Z"/>
  <w16cex:commentExtensible w16cex:durableId="2384A9D6" w16cex:dateUtc="2020-12-16T14: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31646" w14:textId="77777777" w:rsidR="0033175D" w:rsidRDefault="0033175D" w:rsidP="00A575AC">
      <w:r>
        <w:separator/>
      </w:r>
    </w:p>
    <w:p w14:paraId="415A575E" w14:textId="77777777" w:rsidR="0033175D" w:rsidRDefault="0033175D" w:rsidP="00A575AC"/>
  </w:endnote>
  <w:endnote w:type="continuationSeparator" w:id="0">
    <w:p w14:paraId="5DE405FD" w14:textId="77777777" w:rsidR="0033175D" w:rsidRDefault="0033175D" w:rsidP="00A575AC">
      <w:r>
        <w:continuationSeparator/>
      </w:r>
    </w:p>
    <w:p w14:paraId="0FC693A1" w14:textId="77777777" w:rsidR="0033175D" w:rsidRDefault="0033175D" w:rsidP="00A575AC"/>
  </w:endnote>
  <w:endnote w:type="continuationNotice" w:id="1">
    <w:p w14:paraId="19B0E344" w14:textId="77777777" w:rsidR="0033175D" w:rsidRDefault="00331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287" w:usb1="080E0000" w:usb2="00000010" w:usb3="00000000" w:csb0="0004000F" w:csb1="00000000"/>
  </w:font>
  <w:font w:name="DengXian Light">
    <w:altName w:val="等线 Light"/>
    <w:charset w:val="86"/>
    <w:family w:val="auto"/>
    <w:pitch w:val="variable"/>
    <w:sig w:usb0="00000287" w:usb1="080E0000" w:usb2="00000010"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EBB2F" w14:textId="77777777" w:rsidR="00D61FAC" w:rsidRDefault="00D61F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80810" w14:textId="77777777" w:rsidR="0033175D" w:rsidRDefault="0033175D" w:rsidP="00A575AC">
      <w:r>
        <w:separator/>
      </w:r>
    </w:p>
    <w:p w14:paraId="310A0F87" w14:textId="77777777" w:rsidR="0033175D" w:rsidRDefault="0033175D" w:rsidP="00A575AC"/>
  </w:footnote>
  <w:footnote w:type="continuationSeparator" w:id="0">
    <w:p w14:paraId="7A1BC933" w14:textId="77777777" w:rsidR="0033175D" w:rsidRDefault="0033175D" w:rsidP="00A575AC">
      <w:r>
        <w:continuationSeparator/>
      </w:r>
    </w:p>
    <w:p w14:paraId="17029893" w14:textId="77777777" w:rsidR="0033175D" w:rsidRDefault="0033175D" w:rsidP="00A575AC"/>
  </w:footnote>
  <w:footnote w:type="continuationNotice" w:id="1">
    <w:p w14:paraId="02C8E67B" w14:textId="77777777" w:rsidR="0033175D" w:rsidRDefault="003317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A6704" w14:textId="77777777" w:rsidR="00D61FAC" w:rsidRDefault="00D61FAC"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45CDA"/>
    <w:multiLevelType w:val="hybridMultilevel"/>
    <w:tmpl w:val="3C225D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0B5EE4"/>
    <w:multiLevelType w:val="hybridMultilevel"/>
    <w:tmpl w:val="11901FC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6A2836"/>
    <w:multiLevelType w:val="hybridMultilevel"/>
    <w:tmpl w:val="A6C2FC06"/>
    <w:lvl w:ilvl="0" w:tplc="929C13D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06E5478"/>
    <w:multiLevelType w:val="hybridMultilevel"/>
    <w:tmpl w:val="292A9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5D48EE"/>
    <w:multiLevelType w:val="hybridMultilevel"/>
    <w:tmpl w:val="76C6E4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700050"/>
    <w:multiLevelType w:val="hybridMultilevel"/>
    <w:tmpl w:val="57DA9B4C"/>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3A1DDA"/>
    <w:multiLevelType w:val="hybridMultilevel"/>
    <w:tmpl w:val="F6386C86"/>
    <w:lvl w:ilvl="0" w:tplc="3C2EFF7A">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B78D0"/>
    <w:multiLevelType w:val="hybridMultilevel"/>
    <w:tmpl w:val="115AFF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F70B81"/>
    <w:multiLevelType w:val="hybridMultilevel"/>
    <w:tmpl w:val="6798D16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6152554"/>
    <w:multiLevelType w:val="hybridMultilevel"/>
    <w:tmpl w:val="608A24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55243B"/>
    <w:multiLevelType w:val="hybridMultilevel"/>
    <w:tmpl w:val="8570902C"/>
    <w:lvl w:ilvl="0" w:tplc="B892650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0043161"/>
    <w:multiLevelType w:val="hybridMultilevel"/>
    <w:tmpl w:val="15584D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95771F1"/>
    <w:multiLevelType w:val="hybridMultilevel"/>
    <w:tmpl w:val="F7EA6048"/>
    <w:lvl w:ilvl="0" w:tplc="24E26230">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777C69"/>
    <w:multiLevelType w:val="hybridMultilevel"/>
    <w:tmpl w:val="22FEB3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D7D1AF7"/>
    <w:multiLevelType w:val="hybridMultilevel"/>
    <w:tmpl w:val="7BB095A2"/>
    <w:lvl w:ilvl="0" w:tplc="61C0959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4"/>
  </w:num>
  <w:num w:numId="3">
    <w:abstractNumId w:val="18"/>
  </w:num>
  <w:num w:numId="4">
    <w:abstractNumId w:val="19"/>
  </w:num>
  <w:num w:numId="5">
    <w:abstractNumId w:val="15"/>
  </w:num>
  <w:num w:numId="6">
    <w:abstractNumId w:val="21"/>
  </w:num>
  <w:num w:numId="7">
    <w:abstractNumId w:val="31"/>
  </w:num>
  <w:num w:numId="8">
    <w:abstractNumId w:val="16"/>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2"/>
  </w:num>
  <w:num w:numId="17">
    <w:abstractNumId w:val="7"/>
  </w:num>
  <w:num w:numId="18">
    <w:abstractNumId w:val="10"/>
  </w:num>
  <w:num w:numId="19">
    <w:abstractNumId w:val="5"/>
  </w:num>
  <w:num w:numId="20">
    <w:abstractNumId w:val="40"/>
  </w:num>
  <w:num w:numId="21">
    <w:abstractNumId w:val="17"/>
  </w:num>
  <w:num w:numId="22">
    <w:abstractNumId w:val="38"/>
  </w:num>
  <w:num w:numId="23">
    <w:abstractNumId w:val="33"/>
  </w:num>
  <w:num w:numId="24">
    <w:abstractNumId w:val="30"/>
  </w:num>
  <w:num w:numId="25">
    <w:abstractNumId w:val="3"/>
  </w:num>
  <w:num w:numId="26">
    <w:abstractNumId w:val="25"/>
  </w:num>
  <w:num w:numId="27">
    <w:abstractNumId w:val="36"/>
  </w:num>
  <w:num w:numId="28">
    <w:abstractNumId w:val="23"/>
  </w:num>
  <w:num w:numId="29">
    <w:abstractNumId w:val="12"/>
  </w:num>
  <w:num w:numId="30">
    <w:abstractNumId w:val="6"/>
  </w:num>
  <w:num w:numId="31">
    <w:abstractNumId w:val="9"/>
  </w:num>
  <w:num w:numId="32">
    <w:abstractNumId w:val="22"/>
  </w:num>
  <w:num w:numId="33">
    <w:abstractNumId w:val="34"/>
  </w:num>
  <w:num w:numId="34">
    <w:abstractNumId w:val="11"/>
  </w:num>
  <w:num w:numId="35">
    <w:abstractNumId w:val="35"/>
  </w:num>
  <w:num w:numId="36">
    <w:abstractNumId w:val="39"/>
  </w:num>
  <w:num w:numId="37">
    <w:abstractNumId w:val="37"/>
  </w:num>
  <w:num w:numId="38">
    <w:abstractNumId w:val="29"/>
  </w:num>
  <w:num w:numId="39">
    <w:abstractNumId w:val="13"/>
  </w:num>
  <w:num w:numId="40">
    <w:abstractNumId w:val="8"/>
  </w:num>
  <w:num w:numId="4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4A"/>
    <w:rsid w:val="000006E1"/>
    <w:rsid w:val="00002A37"/>
    <w:rsid w:val="000035C3"/>
    <w:rsid w:val="00005221"/>
    <w:rsid w:val="0000564C"/>
    <w:rsid w:val="00006446"/>
    <w:rsid w:val="00006896"/>
    <w:rsid w:val="00007CDC"/>
    <w:rsid w:val="00010278"/>
    <w:rsid w:val="00011631"/>
    <w:rsid w:val="00011B28"/>
    <w:rsid w:val="00013F46"/>
    <w:rsid w:val="00014A98"/>
    <w:rsid w:val="00015D15"/>
    <w:rsid w:val="00016F53"/>
    <w:rsid w:val="000223C1"/>
    <w:rsid w:val="000237D5"/>
    <w:rsid w:val="0002564D"/>
    <w:rsid w:val="00025DB6"/>
    <w:rsid w:val="00025ECA"/>
    <w:rsid w:val="00030080"/>
    <w:rsid w:val="00032401"/>
    <w:rsid w:val="000325B8"/>
    <w:rsid w:val="00034C15"/>
    <w:rsid w:val="00036BA1"/>
    <w:rsid w:val="000422E2"/>
    <w:rsid w:val="00042CA0"/>
    <w:rsid w:val="00042F22"/>
    <w:rsid w:val="000444EF"/>
    <w:rsid w:val="00044748"/>
    <w:rsid w:val="00051236"/>
    <w:rsid w:val="00052A07"/>
    <w:rsid w:val="000534E3"/>
    <w:rsid w:val="0005461E"/>
    <w:rsid w:val="0005606A"/>
    <w:rsid w:val="000567CA"/>
    <w:rsid w:val="00056CD8"/>
    <w:rsid w:val="00057117"/>
    <w:rsid w:val="00057B15"/>
    <w:rsid w:val="000616E7"/>
    <w:rsid w:val="0006201D"/>
    <w:rsid w:val="000629A4"/>
    <w:rsid w:val="00063A3E"/>
    <w:rsid w:val="0006487E"/>
    <w:rsid w:val="00065E1A"/>
    <w:rsid w:val="0006788A"/>
    <w:rsid w:val="0007147A"/>
    <w:rsid w:val="00071893"/>
    <w:rsid w:val="00071E5D"/>
    <w:rsid w:val="00077E5F"/>
    <w:rsid w:val="0008036A"/>
    <w:rsid w:val="00080B20"/>
    <w:rsid w:val="00081AE6"/>
    <w:rsid w:val="0008279D"/>
    <w:rsid w:val="000855EB"/>
    <w:rsid w:val="00085B52"/>
    <w:rsid w:val="000866F2"/>
    <w:rsid w:val="0009009F"/>
    <w:rsid w:val="00091557"/>
    <w:rsid w:val="000924C1"/>
    <w:rsid w:val="000924F0"/>
    <w:rsid w:val="00093474"/>
    <w:rsid w:val="00094B54"/>
    <w:rsid w:val="0009510F"/>
    <w:rsid w:val="00095A4C"/>
    <w:rsid w:val="000A1B7B"/>
    <w:rsid w:val="000A4D72"/>
    <w:rsid w:val="000A56F2"/>
    <w:rsid w:val="000A6F7D"/>
    <w:rsid w:val="000B10E1"/>
    <w:rsid w:val="000B2719"/>
    <w:rsid w:val="000B3A8F"/>
    <w:rsid w:val="000B438B"/>
    <w:rsid w:val="000B44D3"/>
    <w:rsid w:val="000B4AB9"/>
    <w:rsid w:val="000B58C3"/>
    <w:rsid w:val="000B61E9"/>
    <w:rsid w:val="000B7B16"/>
    <w:rsid w:val="000C136A"/>
    <w:rsid w:val="000C165A"/>
    <w:rsid w:val="000C2D3B"/>
    <w:rsid w:val="000C2E19"/>
    <w:rsid w:val="000C46E8"/>
    <w:rsid w:val="000C56F7"/>
    <w:rsid w:val="000D0D07"/>
    <w:rsid w:val="000D28C5"/>
    <w:rsid w:val="000D4094"/>
    <w:rsid w:val="000D4797"/>
    <w:rsid w:val="000D51BE"/>
    <w:rsid w:val="000D5F53"/>
    <w:rsid w:val="000E0527"/>
    <w:rsid w:val="000E1E92"/>
    <w:rsid w:val="000E1F86"/>
    <w:rsid w:val="000E323B"/>
    <w:rsid w:val="000E7A77"/>
    <w:rsid w:val="000F06D6"/>
    <w:rsid w:val="000F0EB1"/>
    <w:rsid w:val="000F1106"/>
    <w:rsid w:val="000F3BE9"/>
    <w:rsid w:val="000F3F6C"/>
    <w:rsid w:val="000F41A8"/>
    <w:rsid w:val="000F41E3"/>
    <w:rsid w:val="000F6CD5"/>
    <w:rsid w:val="000F6DF3"/>
    <w:rsid w:val="000F7AD0"/>
    <w:rsid w:val="0010056C"/>
    <w:rsid w:val="001005FF"/>
    <w:rsid w:val="00101847"/>
    <w:rsid w:val="00101A93"/>
    <w:rsid w:val="0010323D"/>
    <w:rsid w:val="00104951"/>
    <w:rsid w:val="00105B0A"/>
    <w:rsid w:val="001062FB"/>
    <w:rsid w:val="001063E6"/>
    <w:rsid w:val="00113CF4"/>
    <w:rsid w:val="001153EA"/>
    <w:rsid w:val="00115643"/>
    <w:rsid w:val="00116765"/>
    <w:rsid w:val="001219F5"/>
    <w:rsid w:val="00121A20"/>
    <w:rsid w:val="00121C7F"/>
    <w:rsid w:val="0012377F"/>
    <w:rsid w:val="00123DD9"/>
    <w:rsid w:val="00124314"/>
    <w:rsid w:val="00125829"/>
    <w:rsid w:val="00126B4A"/>
    <w:rsid w:val="00132071"/>
    <w:rsid w:val="00132333"/>
    <w:rsid w:val="00132C2A"/>
    <w:rsid w:val="00132FD0"/>
    <w:rsid w:val="00133942"/>
    <w:rsid w:val="001344C0"/>
    <w:rsid w:val="001346FA"/>
    <w:rsid w:val="00135252"/>
    <w:rsid w:val="00135372"/>
    <w:rsid w:val="00136443"/>
    <w:rsid w:val="00137AB5"/>
    <w:rsid w:val="00137F0B"/>
    <w:rsid w:val="00141CBF"/>
    <w:rsid w:val="0014367D"/>
    <w:rsid w:val="00144A95"/>
    <w:rsid w:val="00146058"/>
    <w:rsid w:val="00147538"/>
    <w:rsid w:val="0015100D"/>
    <w:rsid w:val="00151E23"/>
    <w:rsid w:val="001523DF"/>
    <w:rsid w:val="001526E0"/>
    <w:rsid w:val="001551B5"/>
    <w:rsid w:val="0015562C"/>
    <w:rsid w:val="00161AFC"/>
    <w:rsid w:val="00162E5C"/>
    <w:rsid w:val="0016350B"/>
    <w:rsid w:val="00164654"/>
    <w:rsid w:val="00164AA3"/>
    <w:rsid w:val="001659C1"/>
    <w:rsid w:val="00170166"/>
    <w:rsid w:val="00170C5A"/>
    <w:rsid w:val="001726EA"/>
    <w:rsid w:val="00173A8E"/>
    <w:rsid w:val="001749A5"/>
    <w:rsid w:val="0017502C"/>
    <w:rsid w:val="0018143F"/>
    <w:rsid w:val="00181700"/>
    <w:rsid w:val="00181FF8"/>
    <w:rsid w:val="00182EEF"/>
    <w:rsid w:val="00183266"/>
    <w:rsid w:val="00184AD0"/>
    <w:rsid w:val="00185B9A"/>
    <w:rsid w:val="00190AC1"/>
    <w:rsid w:val="0019341A"/>
    <w:rsid w:val="00193681"/>
    <w:rsid w:val="0019535D"/>
    <w:rsid w:val="00197DF9"/>
    <w:rsid w:val="001A1987"/>
    <w:rsid w:val="001A2564"/>
    <w:rsid w:val="001A3EE9"/>
    <w:rsid w:val="001A6173"/>
    <w:rsid w:val="001A6CBA"/>
    <w:rsid w:val="001B0D97"/>
    <w:rsid w:val="001B2CE3"/>
    <w:rsid w:val="001B39B3"/>
    <w:rsid w:val="001B4155"/>
    <w:rsid w:val="001B443A"/>
    <w:rsid w:val="001B5233"/>
    <w:rsid w:val="001B5A5D"/>
    <w:rsid w:val="001B6DA5"/>
    <w:rsid w:val="001C1CE5"/>
    <w:rsid w:val="001C1F4A"/>
    <w:rsid w:val="001C3D2A"/>
    <w:rsid w:val="001C3D65"/>
    <w:rsid w:val="001C4D41"/>
    <w:rsid w:val="001D0133"/>
    <w:rsid w:val="001D35F8"/>
    <w:rsid w:val="001D3BEE"/>
    <w:rsid w:val="001D48BC"/>
    <w:rsid w:val="001D51BA"/>
    <w:rsid w:val="001D53E7"/>
    <w:rsid w:val="001D6342"/>
    <w:rsid w:val="001D6D53"/>
    <w:rsid w:val="001E07BA"/>
    <w:rsid w:val="001E1340"/>
    <w:rsid w:val="001E192A"/>
    <w:rsid w:val="001E5831"/>
    <w:rsid w:val="001E58E2"/>
    <w:rsid w:val="001E6508"/>
    <w:rsid w:val="001E7AED"/>
    <w:rsid w:val="001F2205"/>
    <w:rsid w:val="001F3916"/>
    <w:rsid w:val="001F54C5"/>
    <w:rsid w:val="001F662C"/>
    <w:rsid w:val="001F7074"/>
    <w:rsid w:val="001F7819"/>
    <w:rsid w:val="00200490"/>
    <w:rsid w:val="00201F3A"/>
    <w:rsid w:val="00202A0A"/>
    <w:rsid w:val="00202DC0"/>
    <w:rsid w:val="00202E48"/>
    <w:rsid w:val="0020307F"/>
    <w:rsid w:val="00203F96"/>
    <w:rsid w:val="00205077"/>
    <w:rsid w:val="002069B2"/>
    <w:rsid w:val="00207F29"/>
    <w:rsid w:val="00207FA3"/>
    <w:rsid w:val="00214DA8"/>
    <w:rsid w:val="00215423"/>
    <w:rsid w:val="002158FA"/>
    <w:rsid w:val="002169DA"/>
    <w:rsid w:val="00220600"/>
    <w:rsid w:val="002224DB"/>
    <w:rsid w:val="00222CBE"/>
    <w:rsid w:val="00223177"/>
    <w:rsid w:val="00223FCB"/>
    <w:rsid w:val="002252C3"/>
    <w:rsid w:val="00225C54"/>
    <w:rsid w:val="002263E7"/>
    <w:rsid w:val="00230765"/>
    <w:rsid w:val="00230D18"/>
    <w:rsid w:val="002319E4"/>
    <w:rsid w:val="00232B42"/>
    <w:rsid w:val="00235632"/>
    <w:rsid w:val="00235872"/>
    <w:rsid w:val="00241559"/>
    <w:rsid w:val="0024287A"/>
    <w:rsid w:val="002435B3"/>
    <w:rsid w:val="002458EB"/>
    <w:rsid w:val="002500C8"/>
    <w:rsid w:val="00250FF6"/>
    <w:rsid w:val="00251391"/>
    <w:rsid w:val="002523B1"/>
    <w:rsid w:val="00254BE9"/>
    <w:rsid w:val="0025717B"/>
    <w:rsid w:val="00257543"/>
    <w:rsid w:val="002606AB"/>
    <w:rsid w:val="002617E7"/>
    <w:rsid w:val="00264228"/>
    <w:rsid w:val="00264334"/>
    <w:rsid w:val="0026473E"/>
    <w:rsid w:val="002652D4"/>
    <w:rsid w:val="0026569D"/>
    <w:rsid w:val="00266214"/>
    <w:rsid w:val="00267C83"/>
    <w:rsid w:val="0027144F"/>
    <w:rsid w:val="00271813"/>
    <w:rsid w:val="00271F3A"/>
    <w:rsid w:val="00273278"/>
    <w:rsid w:val="002737F4"/>
    <w:rsid w:val="002758D1"/>
    <w:rsid w:val="00277F05"/>
    <w:rsid w:val="002805F5"/>
    <w:rsid w:val="00280751"/>
    <w:rsid w:val="0028280A"/>
    <w:rsid w:val="00284F90"/>
    <w:rsid w:val="0028546C"/>
    <w:rsid w:val="00285663"/>
    <w:rsid w:val="00286ACD"/>
    <w:rsid w:val="00287838"/>
    <w:rsid w:val="002907B5"/>
    <w:rsid w:val="00292EB7"/>
    <w:rsid w:val="002933BD"/>
    <w:rsid w:val="00293C85"/>
    <w:rsid w:val="00296227"/>
    <w:rsid w:val="00296F44"/>
    <w:rsid w:val="0029777D"/>
    <w:rsid w:val="002A055E"/>
    <w:rsid w:val="002A1D4E"/>
    <w:rsid w:val="002A2869"/>
    <w:rsid w:val="002A37D4"/>
    <w:rsid w:val="002A5EAD"/>
    <w:rsid w:val="002B105E"/>
    <w:rsid w:val="002B24D6"/>
    <w:rsid w:val="002B2BA5"/>
    <w:rsid w:val="002B3B16"/>
    <w:rsid w:val="002B56C9"/>
    <w:rsid w:val="002B5887"/>
    <w:rsid w:val="002B76C8"/>
    <w:rsid w:val="002B7D7E"/>
    <w:rsid w:val="002C092A"/>
    <w:rsid w:val="002C41E6"/>
    <w:rsid w:val="002D071A"/>
    <w:rsid w:val="002D2D3B"/>
    <w:rsid w:val="002D3011"/>
    <w:rsid w:val="002D34B2"/>
    <w:rsid w:val="002D4523"/>
    <w:rsid w:val="002D48B0"/>
    <w:rsid w:val="002D5B37"/>
    <w:rsid w:val="002D61F3"/>
    <w:rsid w:val="002D7637"/>
    <w:rsid w:val="002E17F2"/>
    <w:rsid w:val="002E3CE1"/>
    <w:rsid w:val="002E6B2F"/>
    <w:rsid w:val="002E7648"/>
    <w:rsid w:val="002E7CAE"/>
    <w:rsid w:val="002F18E8"/>
    <w:rsid w:val="002F2771"/>
    <w:rsid w:val="002F37A9"/>
    <w:rsid w:val="002F3F5B"/>
    <w:rsid w:val="002F5374"/>
    <w:rsid w:val="002F67E2"/>
    <w:rsid w:val="002F713B"/>
    <w:rsid w:val="00301CE6"/>
    <w:rsid w:val="0030256B"/>
    <w:rsid w:val="00304031"/>
    <w:rsid w:val="00304A43"/>
    <w:rsid w:val="0030501F"/>
    <w:rsid w:val="003056C5"/>
    <w:rsid w:val="00306155"/>
    <w:rsid w:val="00307092"/>
    <w:rsid w:val="00307560"/>
    <w:rsid w:val="00307BA1"/>
    <w:rsid w:val="00311702"/>
    <w:rsid w:val="00311E82"/>
    <w:rsid w:val="00313FD6"/>
    <w:rsid w:val="003143BD"/>
    <w:rsid w:val="003149F8"/>
    <w:rsid w:val="00315363"/>
    <w:rsid w:val="0031559C"/>
    <w:rsid w:val="003203ED"/>
    <w:rsid w:val="003206BC"/>
    <w:rsid w:val="00320AA4"/>
    <w:rsid w:val="00322C9F"/>
    <w:rsid w:val="00324D23"/>
    <w:rsid w:val="003270F4"/>
    <w:rsid w:val="00327C2F"/>
    <w:rsid w:val="00331751"/>
    <w:rsid w:val="0033175D"/>
    <w:rsid w:val="00334579"/>
    <w:rsid w:val="00335858"/>
    <w:rsid w:val="00336BDA"/>
    <w:rsid w:val="00341B97"/>
    <w:rsid w:val="00342BD7"/>
    <w:rsid w:val="003435B3"/>
    <w:rsid w:val="003444D8"/>
    <w:rsid w:val="00344B76"/>
    <w:rsid w:val="00345C84"/>
    <w:rsid w:val="00346DB5"/>
    <w:rsid w:val="003477B1"/>
    <w:rsid w:val="003546F6"/>
    <w:rsid w:val="00357380"/>
    <w:rsid w:val="00357E65"/>
    <w:rsid w:val="003602D9"/>
    <w:rsid w:val="003604CE"/>
    <w:rsid w:val="0036208A"/>
    <w:rsid w:val="003633A1"/>
    <w:rsid w:val="0036364B"/>
    <w:rsid w:val="0036541B"/>
    <w:rsid w:val="00366829"/>
    <w:rsid w:val="00370213"/>
    <w:rsid w:val="00370E47"/>
    <w:rsid w:val="0037232C"/>
    <w:rsid w:val="003737C6"/>
    <w:rsid w:val="0037412D"/>
    <w:rsid w:val="003742AC"/>
    <w:rsid w:val="00376160"/>
    <w:rsid w:val="003776F0"/>
    <w:rsid w:val="00377CE1"/>
    <w:rsid w:val="0038256B"/>
    <w:rsid w:val="00382F9B"/>
    <w:rsid w:val="00385BF0"/>
    <w:rsid w:val="003874C4"/>
    <w:rsid w:val="003876D7"/>
    <w:rsid w:val="00390C5C"/>
    <w:rsid w:val="00391C4A"/>
    <w:rsid w:val="00393083"/>
    <w:rsid w:val="003939FF"/>
    <w:rsid w:val="003944F5"/>
    <w:rsid w:val="003946E4"/>
    <w:rsid w:val="003951FB"/>
    <w:rsid w:val="0039799F"/>
    <w:rsid w:val="003A049F"/>
    <w:rsid w:val="003A2223"/>
    <w:rsid w:val="003A2A0F"/>
    <w:rsid w:val="003A45A1"/>
    <w:rsid w:val="003A5AD3"/>
    <w:rsid w:val="003A5B0A"/>
    <w:rsid w:val="003A6BAC"/>
    <w:rsid w:val="003A70A4"/>
    <w:rsid w:val="003A7EF3"/>
    <w:rsid w:val="003B068E"/>
    <w:rsid w:val="003B13CE"/>
    <w:rsid w:val="003B159C"/>
    <w:rsid w:val="003B3032"/>
    <w:rsid w:val="003B369F"/>
    <w:rsid w:val="003B36A3"/>
    <w:rsid w:val="003B4AFC"/>
    <w:rsid w:val="003B4C9C"/>
    <w:rsid w:val="003B64BB"/>
    <w:rsid w:val="003B7148"/>
    <w:rsid w:val="003B7FE5"/>
    <w:rsid w:val="003C11C8"/>
    <w:rsid w:val="003C2702"/>
    <w:rsid w:val="003C5CB2"/>
    <w:rsid w:val="003C77EB"/>
    <w:rsid w:val="003C7806"/>
    <w:rsid w:val="003D0504"/>
    <w:rsid w:val="003D109F"/>
    <w:rsid w:val="003D1CC9"/>
    <w:rsid w:val="003D2478"/>
    <w:rsid w:val="003D3C45"/>
    <w:rsid w:val="003D482D"/>
    <w:rsid w:val="003D5B1F"/>
    <w:rsid w:val="003D5B7A"/>
    <w:rsid w:val="003D6328"/>
    <w:rsid w:val="003D7B85"/>
    <w:rsid w:val="003E03FB"/>
    <w:rsid w:val="003E15FA"/>
    <w:rsid w:val="003E233E"/>
    <w:rsid w:val="003E28FC"/>
    <w:rsid w:val="003E55E4"/>
    <w:rsid w:val="003E6E75"/>
    <w:rsid w:val="003E74E3"/>
    <w:rsid w:val="003F05C7"/>
    <w:rsid w:val="003F0ECD"/>
    <w:rsid w:val="003F2CD4"/>
    <w:rsid w:val="003F308E"/>
    <w:rsid w:val="003F5596"/>
    <w:rsid w:val="003F6BBE"/>
    <w:rsid w:val="003F6D9B"/>
    <w:rsid w:val="004000E8"/>
    <w:rsid w:val="004019BF"/>
    <w:rsid w:val="00402BE1"/>
    <w:rsid w:val="00402BF0"/>
    <w:rsid w:val="00402C20"/>
    <w:rsid w:val="00402E2B"/>
    <w:rsid w:val="0040512B"/>
    <w:rsid w:val="00405CA5"/>
    <w:rsid w:val="00407CD3"/>
    <w:rsid w:val="00410134"/>
    <w:rsid w:val="00410B72"/>
    <w:rsid w:val="00410F18"/>
    <w:rsid w:val="0041263E"/>
    <w:rsid w:val="0041342D"/>
    <w:rsid w:val="00413AAC"/>
    <w:rsid w:val="00413E92"/>
    <w:rsid w:val="00420F8F"/>
    <w:rsid w:val="00421105"/>
    <w:rsid w:val="00422AA4"/>
    <w:rsid w:val="004242F4"/>
    <w:rsid w:val="00427248"/>
    <w:rsid w:val="00430312"/>
    <w:rsid w:val="004324CD"/>
    <w:rsid w:val="00434F5F"/>
    <w:rsid w:val="00437447"/>
    <w:rsid w:val="00441A92"/>
    <w:rsid w:val="004429E0"/>
    <w:rsid w:val="004431DC"/>
    <w:rsid w:val="00444A73"/>
    <w:rsid w:val="00444F56"/>
    <w:rsid w:val="00446488"/>
    <w:rsid w:val="00446648"/>
    <w:rsid w:val="00446BA9"/>
    <w:rsid w:val="004473F0"/>
    <w:rsid w:val="004517AA"/>
    <w:rsid w:val="00452CAC"/>
    <w:rsid w:val="004535C1"/>
    <w:rsid w:val="00455275"/>
    <w:rsid w:val="00457565"/>
    <w:rsid w:val="00457B71"/>
    <w:rsid w:val="00457D3E"/>
    <w:rsid w:val="00457DC7"/>
    <w:rsid w:val="00457F95"/>
    <w:rsid w:val="00464681"/>
    <w:rsid w:val="00464E2C"/>
    <w:rsid w:val="00466011"/>
    <w:rsid w:val="004669E2"/>
    <w:rsid w:val="00467976"/>
    <w:rsid w:val="00470C31"/>
    <w:rsid w:val="004713D1"/>
    <w:rsid w:val="00471DE0"/>
    <w:rsid w:val="004734D0"/>
    <w:rsid w:val="0047556B"/>
    <w:rsid w:val="00476AD6"/>
    <w:rsid w:val="0047713E"/>
    <w:rsid w:val="00477768"/>
    <w:rsid w:val="00483009"/>
    <w:rsid w:val="00483998"/>
    <w:rsid w:val="00487BCA"/>
    <w:rsid w:val="004917EE"/>
    <w:rsid w:val="00492BC5"/>
    <w:rsid w:val="00495B9A"/>
    <w:rsid w:val="00496476"/>
    <w:rsid w:val="004964F1"/>
    <w:rsid w:val="00497702"/>
    <w:rsid w:val="004A16BC"/>
    <w:rsid w:val="004A2B94"/>
    <w:rsid w:val="004A3370"/>
    <w:rsid w:val="004A4DFB"/>
    <w:rsid w:val="004A51C8"/>
    <w:rsid w:val="004A534D"/>
    <w:rsid w:val="004B19C3"/>
    <w:rsid w:val="004B2609"/>
    <w:rsid w:val="004B3766"/>
    <w:rsid w:val="004B4850"/>
    <w:rsid w:val="004B48AE"/>
    <w:rsid w:val="004B6F6A"/>
    <w:rsid w:val="004B7C0C"/>
    <w:rsid w:val="004C0FBB"/>
    <w:rsid w:val="004C15E0"/>
    <w:rsid w:val="004C18CF"/>
    <w:rsid w:val="004C2A06"/>
    <w:rsid w:val="004C3898"/>
    <w:rsid w:val="004C55F4"/>
    <w:rsid w:val="004C7C0B"/>
    <w:rsid w:val="004D13E3"/>
    <w:rsid w:val="004D17D5"/>
    <w:rsid w:val="004D1B97"/>
    <w:rsid w:val="004D36B1"/>
    <w:rsid w:val="004D36F5"/>
    <w:rsid w:val="004D7EBD"/>
    <w:rsid w:val="004E2680"/>
    <w:rsid w:val="004E28F9"/>
    <w:rsid w:val="004E2B81"/>
    <w:rsid w:val="004E462E"/>
    <w:rsid w:val="004E4718"/>
    <w:rsid w:val="004E56DC"/>
    <w:rsid w:val="004E6640"/>
    <w:rsid w:val="004E6D7A"/>
    <w:rsid w:val="004E76F4"/>
    <w:rsid w:val="004F096D"/>
    <w:rsid w:val="004F0B4E"/>
    <w:rsid w:val="004F0B6C"/>
    <w:rsid w:val="004F2078"/>
    <w:rsid w:val="004F2399"/>
    <w:rsid w:val="004F4DA3"/>
    <w:rsid w:val="004F538E"/>
    <w:rsid w:val="004F6D27"/>
    <w:rsid w:val="00502FD6"/>
    <w:rsid w:val="00504511"/>
    <w:rsid w:val="00506557"/>
    <w:rsid w:val="0050677A"/>
    <w:rsid w:val="005108D8"/>
    <w:rsid w:val="00510DE2"/>
    <w:rsid w:val="005115F8"/>
    <w:rsid w:val="005116F9"/>
    <w:rsid w:val="005117FD"/>
    <w:rsid w:val="00512F93"/>
    <w:rsid w:val="005139FE"/>
    <w:rsid w:val="005153A7"/>
    <w:rsid w:val="0052005F"/>
    <w:rsid w:val="00520724"/>
    <w:rsid w:val="005219CF"/>
    <w:rsid w:val="0052413E"/>
    <w:rsid w:val="00525A38"/>
    <w:rsid w:val="00525B09"/>
    <w:rsid w:val="0052777F"/>
    <w:rsid w:val="005277D0"/>
    <w:rsid w:val="00527CB7"/>
    <w:rsid w:val="00527F89"/>
    <w:rsid w:val="00534B59"/>
    <w:rsid w:val="005364A7"/>
    <w:rsid w:val="00536759"/>
    <w:rsid w:val="00537A46"/>
    <w:rsid w:val="00537C62"/>
    <w:rsid w:val="005404AC"/>
    <w:rsid w:val="00542989"/>
    <w:rsid w:val="00542C0D"/>
    <w:rsid w:val="00546970"/>
    <w:rsid w:val="0055317A"/>
    <w:rsid w:val="00554E19"/>
    <w:rsid w:val="00557ACC"/>
    <w:rsid w:val="0056086F"/>
    <w:rsid w:val="0056121F"/>
    <w:rsid w:val="00563CC5"/>
    <w:rsid w:val="00572505"/>
    <w:rsid w:val="00574390"/>
    <w:rsid w:val="00582809"/>
    <w:rsid w:val="005846D0"/>
    <w:rsid w:val="00584C07"/>
    <w:rsid w:val="00585411"/>
    <w:rsid w:val="00585A3E"/>
    <w:rsid w:val="0058798C"/>
    <w:rsid w:val="005900FA"/>
    <w:rsid w:val="0059032B"/>
    <w:rsid w:val="00590488"/>
    <w:rsid w:val="00592702"/>
    <w:rsid w:val="0059351E"/>
    <w:rsid w:val="005935A4"/>
    <w:rsid w:val="00593F26"/>
    <w:rsid w:val="005946F6"/>
    <w:rsid w:val="005948C2"/>
    <w:rsid w:val="00595DCA"/>
    <w:rsid w:val="0059779B"/>
    <w:rsid w:val="005A09F0"/>
    <w:rsid w:val="005A1B22"/>
    <w:rsid w:val="005A209A"/>
    <w:rsid w:val="005A2B09"/>
    <w:rsid w:val="005A2E50"/>
    <w:rsid w:val="005A51F0"/>
    <w:rsid w:val="005A662D"/>
    <w:rsid w:val="005A6DAB"/>
    <w:rsid w:val="005B1260"/>
    <w:rsid w:val="005B1409"/>
    <w:rsid w:val="005B35D7"/>
    <w:rsid w:val="005B392A"/>
    <w:rsid w:val="005B3AA3"/>
    <w:rsid w:val="005B43DF"/>
    <w:rsid w:val="005B6F83"/>
    <w:rsid w:val="005B77D3"/>
    <w:rsid w:val="005C0747"/>
    <w:rsid w:val="005C2401"/>
    <w:rsid w:val="005C4E6B"/>
    <w:rsid w:val="005C58BA"/>
    <w:rsid w:val="005C74FB"/>
    <w:rsid w:val="005D1602"/>
    <w:rsid w:val="005D3092"/>
    <w:rsid w:val="005D4A41"/>
    <w:rsid w:val="005E30E3"/>
    <w:rsid w:val="005E385F"/>
    <w:rsid w:val="005E3FC3"/>
    <w:rsid w:val="005E5B81"/>
    <w:rsid w:val="005E5D0D"/>
    <w:rsid w:val="005F2523"/>
    <w:rsid w:val="005F2CB1"/>
    <w:rsid w:val="005F2D5D"/>
    <w:rsid w:val="005F3025"/>
    <w:rsid w:val="005F3B09"/>
    <w:rsid w:val="005F618C"/>
    <w:rsid w:val="005F70BD"/>
    <w:rsid w:val="00601929"/>
    <w:rsid w:val="0060283C"/>
    <w:rsid w:val="00604876"/>
    <w:rsid w:val="00604F14"/>
    <w:rsid w:val="006061E9"/>
    <w:rsid w:val="00611B83"/>
    <w:rsid w:val="0061206A"/>
    <w:rsid w:val="00612D6F"/>
    <w:rsid w:val="00613257"/>
    <w:rsid w:val="00620A71"/>
    <w:rsid w:val="00620D80"/>
    <w:rsid w:val="006234A6"/>
    <w:rsid w:val="006243DA"/>
    <w:rsid w:val="006251B6"/>
    <w:rsid w:val="00626931"/>
    <w:rsid w:val="00630001"/>
    <w:rsid w:val="00630F37"/>
    <w:rsid w:val="006311B3"/>
    <w:rsid w:val="00631AB2"/>
    <w:rsid w:val="0063284C"/>
    <w:rsid w:val="00632E15"/>
    <w:rsid w:val="006354ED"/>
    <w:rsid w:val="00636398"/>
    <w:rsid w:val="006368D3"/>
    <w:rsid w:val="006377EC"/>
    <w:rsid w:val="00637C9F"/>
    <w:rsid w:val="0064151F"/>
    <w:rsid w:val="00641533"/>
    <w:rsid w:val="0064208D"/>
    <w:rsid w:val="00642965"/>
    <w:rsid w:val="00643475"/>
    <w:rsid w:val="0064396A"/>
    <w:rsid w:val="006440C4"/>
    <w:rsid w:val="0064624E"/>
    <w:rsid w:val="00646C37"/>
    <w:rsid w:val="00650AB9"/>
    <w:rsid w:val="00653C33"/>
    <w:rsid w:val="00653F83"/>
    <w:rsid w:val="00655733"/>
    <w:rsid w:val="00655ACD"/>
    <w:rsid w:val="00656A92"/>
    <w:rsid w:val="00656DDE"/>
    <w:rsid w:val="00660091"/>
    <w:rsid w:val="0066011D"/>
    <w:rsid w:val="006607B7"/>
    <w:rsid w:val="006607C0"/>
    <w:rsid w:val="006613A6"/>
    <w:rsid w:val="006624CE"/>
    <w:rsid w:val="006627A2"/>
    <w:rsid w:val="006634E6"/>
    <w:rsid w:val="00664851"/>
    <w:rsid w:val="006655EE"/>
    <w:rsid w:val="00666F25"/>
    <w:rsid w:val="00667EE7"/>
    <w:rsid w:val="00670922"/>
    <w:rsid w:val="00670BE1"/>
    <w:rsid w:val="0067133A"/>
    <w:rsid w:val="0067218F"/>
    <w:rsid w:val="006741F2"/>
    <w:rsid w:val="00674CC3"/>
    <w:rsid w:val="00675C72"/>
    <w:rsid w:val="00676B0A"/>
    <w:rsid w:val="006771F9"/>
    <w:rsid w:val="006776D7"/>
    <w:rsid w:val="00677FE2"/>
    <w:rsid w:val="00681003"/>
    <w:rsid w:val="006817C9"/>
    <w:rsid w:val="00683ECE"/>
    <w:rsid w:val="00685450"/>
    <w:rsid w:val="00685C61"/>
    <w:rsid w:val="006901DA"/>
    <w:rsid w:val="00692D30"/>
    <w:rsid w:val="00695FC2"/>
    <w:rsid w:val="00696949"/>
    <w:rsid w:val="00697015"/>
    <w:rsid w:val="00697052"/>
    <w:rsid w:val="00697598"/>
    <w:rsid w:val="006A1A46"/>
    <w:rsid w:val="006A2EC7"/>
    <w:rsid w:val="006A30D2"/>
    <w:rsid w:val="006A3980"/>
    <w:rsid w:val="006A46FB"/>
    <w:rsid w:val="006A5AF1"/>
    <w:rsid w:val="006A5E28"/>
    <w:rsid w:val="006A697B"/>
    <w:rsid w:val="006A7AFF"/>
    <w:rsid w:val="006A7B52"/>
    <w:rsid w:val="006B1816"/>
    <w:rsid w:val="006B2099"/>
    <w:rsid w:val="006B23DE"/>
    <w:rsid w:val="006B50CF"/>
    <w:rsid w:val="006B5DC2"/>
    <w:rsid w:val="006B736C"/>
    <w:rsid w:val="006C03B8"/>
    <w:rsid w:val="006C2B3B"/>
    <w:rsid w:val="006C483D"/>
    <w:rsid w:val="006C4F04"/>
    <w:rsid w:val="006C5EC9"/>
    <w:rsid w:val="006C6059"/>
    <w:rsid w:val="006C7522"/>
    <w:rsid w:val="006D214D"/>
    <w:rsid w:val="006D2DB1"/>
    <w:rsid w:val="006D3FBC"/>
    <w:rsid w:val="006D6F08"/>
    <w:rsid w:val="006D6F56"/>
    <w:rsid w:val="006D7DCE"/>
    <w:rsid w:val="006E062C"/>
    <w:rsid w:val="006E104F"/>
    <w:rsid w:val="006E1C82"/>
    <w:rsid w:val="006E1EF5"/>
    <w:rsid w:val="006E28B7"/>
    <w:rsid w:val="006E2A9B"/>
    <w:rsid w:val="006E2C07"/>
    <w:rsid w:val="006E3310"/>
    <w:rsid w:val="006E3772"/>
    <w:rsid w:val="006E4DD3"/>
    <w:rsid w:val="006E4E39"/>
    <w:rsid w:val="006E565E"/>
    <w:rsid w:val="006E673D"/>
    <w:rsid w:val="006E7D3B"/>
    <w:rsid w:val="006F1B70"/>
    <w:rsid w:val="006F341D"/>
    <w:rsid w:val="006F3621"/>
    <w:rsid w:val="006F3CDE"/>
    <w:rsid w:val="006F3DC9"/>
    <w:rsid w:val="006F4A1D"/>
    <w:rsid w:val="006F58D4"/>
    <w:rsid w:val="006F5EE5"/>
    <w:rsid w:val="006F6582"/>
    <w:rsid w:val="006F785A"/>
    <w:rsid w:val="00700447"/>
    <w:rsid w:val="00701658"/>
    <w:rsid w:val="00701BCC"/>
    <w:rsid w:val="0070291F"/>
    <w:rsid w:val="0070346E"/>
    <w:rsid w:val="00704EDB"/>
    <w:rsid w:val="00706101"/>
    <w:rsid w:val="00706266"/>
    <w:rsid w:val="00707072"/>
    <w:rsid w:val="00707D61"/>
    <w:rsid w:val="00707DF3"/>
    <w:rsid w:val="00712287"/>
    <w:rsid w:val="00712772"/>
    <w:rsid w:val="00712C00"/>
    <w:rsid w:val="007132E8"/>
    <w:rsid w:val="0071383F"/>
    <w:rsid w:val="00714462"/>
    <w:rsid w:val="007146F1"/>
    <w:rsid w:val="007148D3"/>
    <w:rsid w:val="00715B9A"/>
    <w:rsid w:val="00716E2A"/>
    <w:rsid w:val="007176FD"/>
    <w:rsid w:val="007257D0"/>
    <w:rsid w:val="00726C51"/>
    <w:rsid w:val="00726EA6"/>
    <w:rsid w:val="00727208"/>
    <w:rsid w:val="00727680"/>
    <w:rsid w:val="007304DF"/>
    <w:rsid w:val="00731717"/>
    <w:rsid w:val="00734180"/>
    <w:rsid w:val="007348B1"/>
    <w:rsid w:val="007362A6"/>
    <w:rsid w:val="00736D7D"/>
    <w:rsid w:val="00740AAA"/>
    <w:rsid w:val="00740C56"/>
    <w:rsid w:val="00740E58"/>
    <w:rsid w:val="00741C52"/>
    <w:rsid w:val="00742C7C"/>
    <w:rsid w:val="007445A0"/>
    <w:rsid w:val="0074524B"/>
    <w:rsid w:val="00745347"/>
    <w:rsid w:val="00746411"/>
    <w:rsid w:val="00747D8B"/>
    <w:rsid w:val="00750599"/>
    <w:rsid w:val="00751228"/>
    <w:rsid w:val="007526E5"/>
    <w:rsid w:val="00755DC3"/>
    <w:rsid w:val="007571E1"/>
    <w:rsid w:val="00757E4D"/>
    <w:rsid w:val="007604B2"/>
    <w:rsid w:val="0076416F"/>
    <w:rsid w:val="0076512C"/>
    <w:rsid w:val="00765281"/>
    <w:rsid w:val="00766BAD"/>
    <w:rsid w:val="007729A2"/>
    <w:rsid w:val="007737F3"/>
    <w:rsid w:val="0077415D"/>
    <w:rsid w:val="00774CB1"/>
    <w:rsid w:val="007755F2"/>
    <w:rsid w:val="00775602"/>
    <w:rsid w:val="00776937"/>
    <w:rsid w:val="00776971"/>
    <w:rsid w:val="0077789A"/>
    <w:rsid w:val="00780A80"/>
    <w:rsid w:val="0078177E"/>
    <w:rsid w:val="00782ADA"/>
    <w:rsid w:val="0078304C"/>
    <w:rsid w:val="00783673"/>
    <w:rsid w:val="00785490"/>
    <w:rsid w:val="007925EA"/>
    <w:rsid w:val="00793CD8"/>
    <w:rsid w:val="00795C92"/>
    <w:rsid w:val="00796231"/>
    <w:rsid w:val="007A005D"/>
    <w:rsid w:val="007A1CB3"/>
    <w:rsid w:val="007A1CD4"/>
    <w:rsid w:val="007A306F"/>
    <w:rsid w:val="007A43A6"/>
    <w:rsid w:val="007A559D"/>
    <w:rsid w:val="007A56E0"/>
    <w:rsid w:val="007A58A6"/>
    <w:rsid w:val="007A5F9B"/>
    <w:rsid w:val="007B3D2D"/>
    <w:rsid w:val="007B50AE"/>
    <w:rsid w:val="007B51DF"/>
    <w:rsid w:val="007B7AED"/>
    <w:rsid w:val="007C05DD"/>
    <w:rsid w:val="007C3778"/>
    <w:rsid w:val="007C3D18"/>
    <w:rsid w:val="007C41BD"/>
    <w:rsid w:val="007C44C8"/>
    <w:rsid w:val="007C4626"/>
    <w:rsid w:val="007C5807"/>
    <w:rsid w:val="007C60BF"/>
    <w:rsid w:val="007C6A07"/>
    <w:rsid w:val="007C6A47"/>
    <w:rsid w:val="007C75A1"/>
    <w:rsid w:val="007C77A5"/>
    <w:rsid w:val="007D04E5"/>
    <w:rsid w:val="007D3C96"/>
    <w:rsid w:val="007D40DC"/>
    <w:rsid w:val="007D5901"/>
    <w:rsid w:val="007D70D5"/>
    <w:rsid w:val="007D7526"/>
    <w:rsid w:val="007E06E6"/>
    <w:rsid w:val="007E2405"/>
    <w:rsid w:val="007E2817"/>
    <w:rsid w:val="007E4610"/>
    <w:rsid w:val="007E4715"/>
    <w:rsid w:val="007E505B"/>
    <w:rsid w:val="007E67FD"/>
    <w:rsid w:val="007E7091"/>
    <w:rsid w:val="007E74C9"/>
    <w:rsid w:val="007F35E0"/>
    <w:rsid w:val="007F59DD"/>
    <w:rsid w:val="007F61A3"/>
    <w:rsid w:val="00802146"/>
    <w:rsid w:val="008027BF"/>
    <w:rsid w:val="00803753"/>
    <w:rsid w:val="00803DEF"/>
    <w:rsid w:val="00803FAE"/>
    <w:rsid w:val="0080473C"/>
    <w:rsid w:val="0080605F"/>
    <w:rsid w:val="00806A74"/>
    <w:rsid w:val="00807786"/>
    <w:rsid w:val="00811FCB"/>
    <w:rsid w:val="00813AF5"/>
    <w:rsid w:val="008158D6"/>
    <w:rsid w:val="0081594C"/>
    <w:rsid w:val="00816832"/>
    <w:rsid w:val="00817196"/>
    <w:rsid w:val="008220A4"/>
    <w:rsid w:val="0082243C"/>
    <w:rsid w:val="008235DB"/>
    <w:rsid w:val="00824AB4"/>
    <w:rsid w:val="00825C42"/>
    <w:rsid w:val="00825D25"/>
    <w:rsid w:val="00826696"/>
    <w:rsid w:val="0082743A"/>
    <w:rsid w:val="00827D6F"/>
    <w:rsid w:val="00830C2C"/>
    <w:rsid w:val="00832373"/>
    <w:rsid w:val="00832CF3"/>
    <w:rsid w:val="00832D81"/>
    <w:rsid w:val="00835A58"/>
    <w:rsid w:val="00835BCB"/>
    <w:rsid w:val="008376AC"/>
    <w:rsid w:val="0083795F"/>
    <w:rsid w:val="008444E8"/>
    <w:rsid w:val="00844E80"/>
    <w:rsid w:val="00846FE7"/>
    <w:rsid w:val="0085103E"/>
    <w:rsid w:val="00852722"/>
    <w:rsid w:val="00856911"/>
    <w:rsid w:val="00857077"/>
    <w:rsid w:val="0086126F"/>
    <w:rsid w:val="008622B4"/>
    <w:rsid w:val="00862E93"/>
    <w:rsid w:val="00864C76"/>
    <w:rsid w:val="00865079"/>
    <w:rsid w:val="008676F2"/>
    <w:rsid w:val="008677FD"/>
    <w:rsid w:val="008706D4"/>
    <w:rsid w:val="00870F8A"/>
    <w:rsid w:val="008714F8"/>
    <w:rsid w:val="008719A4"/>
    <w:rsid w:val="00871D23"/>
    <w:rsid w:val="00874312"/>
    <w:rsid w:val="0087437C"/>
    <w:rsid w:val="00875CD7"/>
    <w:rsid w:val="00876B4D"/>
    <w:rsid w:val="00877F18"/>
    <w:rsid w:val="0088078B"/>
    <w:rsid w:val="0088087D"/>
    <w:rsid w:val="0088201F"/>
    <w:rsid w:val="00884E58"/>
    <w:rsid w:val="00885DEE"/>
    <w:rsid w:val="00887B5E"/>
    <w:rsid w:val="00891691"/>
    <w:rsid w:val="008926EF"/>
    <w:rsid w:val="00892A0E"/>
    <w:rsid w:val="008941E3"/>
    <w:rsid w:val="00894A88"/>
    <w:rsid w:val="00894F97"/>
    <w:rsid w:val="00895386"/>
    <w:rsid w:val="008953FE"/>
    <w:rsid w:val="008A21FF"/>
    <w:rsid w:val="008A2CE2"/>
    <w:rsid w:val="008A30AC"/>
    <w:rsid w:val="008A44B8"/>
    <w:rsid w:val="008A4E2B"/>
    <w:rsid w:val="008A51A8"/>
    <w:rsid w:val="008A54C7"/>
    <w:rsid w:val="008A57C0"/>
    <w:rsid w:val="008A77D8"/>
    <w:rsid w:val="008B0483"/>
    <w:rsid w:val="008B120C"/>
    <w:rsid w:val="008B51A0"/>
    <w:rsid w:val="008B592A"/>
    <w:rsid w:val="008B7B5C"/>
    <w:rsid w:val="008C08AB"/>
    <w:rsid w:val="008C0C99"/>
    <w:rsid w:val="008C2017"/>
    <w:rsid w:val="008C2832"/>
    <w:rsid w:val="008C3F96"/>
    <w:rsid w:val="008C4119"/>
    <w:rsid w:val="008C45B5"/>
    <w:rsid w:val="008C4958"/>
    <w:rsid w:val="008C4BAA"/>
    <w:rsid w:val="008C6158"/>
    <w:rsid w:val="008C6AE8"/>
    <w:rsid w:val="008C7573"/>
    <w:rsid w:val="008D00A5"/>
    <w:rsid w:val="008D1494"/>
    <w:rsid w:val="008D34F1"/>
    <w:rsid w:val="008D37A3"/>
    <w:rsid w:val="008D39D8"/>
    <w:rsid w:val="008D6D1A"/>
    <w:rsid w:val="008D754A"/>
    <w:rsid w:val="008E0297"/>
    <w:rsid w:val="008E065E"/>
    <w:rsid w:val="008E0927"/>
    <w:rsid w:val="008E18F0"/>
    <w:rsid w:val="008E1909"/>
    <w:rsid w:val="008E339C"/>
    <w:rsid w:val="008E72E9"/>
    <w:rsid w:val="008F0AFF"/>
    <w:rsid w:val="008F16EF"/>
    <w:rsid w:val="008F1C4E"/>
    <w:rsid w:val="008F1E1C"/>
    <w:rsid w:val="008F1E70"/>
    <w:rsid w:val="008F1EAB"/>
    <w:rsid w:val="008F33DC"/>
    <w:rsid w:val="008F477F"/>
    <w:rsid w:val="00902350"/>
    <w:rsid w:val="009032A1"/>
    <w:rsid w:val="0090336B"/>
    <w:rsid w:val="009053AA"/>
    <w:rsid w:val="00906939"/>
    <w:rsid w:val="009070AB"/>
    <w:rsid w:val="00910800"/>
    <w:rsid w:val="00910B7D"/>
    <w:rsid w:val="00910B9F"/>
    <w:rsid w:val="00911DFB"/>
    <w:rsid w:val="009131C1"/>
    <w:rsid w:val="009139D9"/>
    <w:rsid w:val="0091452F"/>
    <w:rsid w:val="00914AD8"/>
    <w:rsid w:val="00914B30"/>
    <w:rsid w:val="00916079"/>
    <w:rsid w:val="00917CE9"/>
    <w:rsid w:val="00920BF2"/>
    <w:rsid w:val="0092112C"/>
    <w:rsid w:val="00922010"/>
    <w:rsid w:val="00922B6A"/>
    <w:rsid w:val="00924726"/>
    <w:rsid w:val="009248A2"/>
    <w:rsid w:val="00924EA6"/>
    <w:rsid w:val="00924F0F"/>
    <w:rsid w:val="00927085"/>
    <w:rsid w:val="00930563"/>
    <w:rsid w:val="00931776"/>
    <w:rsid w:val="00931BD9"/>
    <w:rsid w:val="009322F2"/>
    <w:rsid w:val="00932C7C"/>
    <w:rsid w:val="00932FB3"/>
    <w:rsid w:val="00935860"/>
    <w:rsid w:val="00935DD7"/>
    <w:rsid w:val="009368F3"/>
    <w:rsid w:val="009377DC"/>
    <w:rsid w:val="009406A5"/>
    <w:rsid w:val="00941636"/>
    <w:rsid w:val="00942293"/>
    <w:rsid w:val="00943742"/>
    <w:rsid w:val="00944B0C"/>
    <w:rsid w:val="00945C05"/>
    <w:rsid w:val="00946945"/>
    <w:rsid w:val="00946CE5"/>
    <w:rsid w:val="00946DD5"/>
    <w:rsid w:val="00947713"/>
    <w:rsid w:val="00947E27"/>
    <w:rsid w:val="00950DE7"/>
    <w:rsid w:val="00950E3E"/>
    <w:rsid w:val="0095101E"/>
    <w:rsid w:val="00952FD3"/>
    <w:rsid w:val="00953920"/>
    <w:rsid w:val="00953D47"/>
    <w:rsid w:val="009564EC"/>
    <w:rsid w:val="0095681E"/>
    <w:rsid w:val="0095698B"/>
    <w:rsid w:val="00956D59"/>
    <w:rsid w:val="009572D4"/>
    <w:rsid w:val="009605AE"/>
    <w:rsid w:val="009612D2"/>
    <w:rsid w:val="00961921"/>
    <w:rsid w:val="0096430A"/>
    <w:rsid w:val="0096554B"/>
    <w:rsid w:val="00965597"/>
    <w:rsid w:val="0096584A"/>
    <w:rsid w:val="00965AC7"/>
    <w:rsid w:val="00971F08"/>
    <w:rsid w:val="009720E1"/>
    <w:rsid w:val="009733F5"/>
    <w:rsid w:val="00973D2F"/>
    <w:rsid w:val="00975E73"/>
    <w:rsid w:val="0097603D"/>
    <w:rsid w:val="00976949"/>
    <w:rsid w:val="00980477"/>
    <w:rsid w:val="0098217A"/>
    <w:rsid w:val="0098237C"/>
    <w:rsid w:val="00983DAF"/>
    <w:rsid w:val="00984250"/>
    <w:rsid w:val="00985253"/>
    <w:rsid w:val="009853B3"/>
    <w:rsid w:val="0098699F"/>
    <w:rsid w:val="00986C39"/>
    <w:rsid w:val="0098764A"/>
    <w:rsid w:val="00990630"/>
    <w:rsid w:val="0099121F"/>
    <w:rsid w:val="00991761"/>
    <w:rsid w:val="009929AF"/>
    <w:rsid w:val="0099449C"/>
    <w:rsid w:val="00994DCA"/>
    <w:rsid w:val="009960EC"/>
    <w:rsid w:val="009970DD"/>
    <w:rsid w:val="009A004C"/>
    <w:rsid w:val="009A0FBA"/>
    <w:rsid w:val="009A1601"/>
    <w:rsid w:val="009A30A1"/>
    <w:rsid w:val="009A3BB6"/>
    <w:rsid w:val="009A462D"/>
    <w:rsid w:val="009A4ED6"/>
    <w:rsid w:val="009A5CBA"/>
    <w:rsid w:val="009A73EA"/>
    <w:rsid w:val="009A7A36"/>
    <w:rsid w:val="009B06C8"/>
    <w:rsid w:val="009B08DE"/>
    <w:rsid w:val="009B12E5"/>
    <w:rsid w:val="009B1F30"/>
    <w:rsid w:val="009B3AC2"/>
    <w:rsid w:val="009B4DF4"/>
    <w:rsid w:val="009B564E"/>
    <w:rsid w:val="009B7496"/>
    <w:rsid w:val="009B7E87"/>
    <w:rsid w:val="009C0169"/>
    <w:rsid w:val="009C0672"/>
    <w:rsid w:val="009C07D4"/>
    <w:rsid w:val="009C0AD2"/>
    <w:rsid w:val="009C190D"/>
    <w:rsid w:val="009C1C53"/>
    <w:rsid w:val="009C403E"/>
    <w:rsid w:val="009C6A81"/>
    <w:rsid w:val="009D125E"/>
    <w:rsid w:val="009D18DB"/>
    <w:rsid w:val="009D4FF0"/>
    <w:rsid w:val="009D703C"/>
    <w:rsid w:val="009D718F"/>
    <w:rsid w:val="009E068F"/>
    <w:rsid w:val="009E074B"/>
    <w:rsid w:val="009E14E0"/>
    <w:rsid w:val="009E2CBC"/>
    <w:rsid w:val="009E2E51"/>
    <w:rsid w:val="009E35DB"/>
    <w:rsid w:val="009E4167"/>
    <w:rsid w:val="009E47A3"/>
    <w:rsid w:val="009E5CCE"/>
    <w:rsid w:val="009E5EC8"/>
    <w:rsid w:val="009E6306"/>
    <w:rsid w:val="009E6712"/>
    <w:rsid w:val="009E6726"/>
    <w:rsid w:val="009E7045"/>
    <w:rsid w:val="009E7AF1"/>
    <w:rsid w:val="009F08F3"/>
    <w:rsid w:val="009F344F"/>
    <w:rsid w:val="009F3C90"/>
    <w:rsid w:val="00A00007"/>
    <w:rsid w:val="00A00FDE"/>
    <w:rsid w:val="00A010C0"/>
    <w:rsid w:val="00A01EE1"/>
    <w:rsid w:val="00A02987"/>
    <w:rsid w:val="00A031D8"/>
    <w:rsid w:val="00A048A8"/>
    <w:rsid w:val="00A04F49"/>
    <w:rsid w:val="00A04FE6"/>
    <w:rsid w:val="00A116AB"/>
    <w:rsid w:val="00A1261E"/>
    <w:rsid w:val="00A13E54"/>
    <w:rsid w:val="00A17F63"/>
    <w:rsid w:val="00A2193B"/>
    <w:rsid w:val="00A22889"/>
    <w:rsid w:val="00A2351A"/>
    <w:rsid w:val="00A264A9"/>
    <w:rsid w:val="00A26DCF"/>
    <w:rsid w:val="00A2739B"/>
    <w:rsid w:val="00A27785"/>
    <w:rsid w:val="00A30187"/>
    <w:rsid w:val="00A30542"/>
    <w:rsid w:val="00A31D4C"/>
    <w:rsid w:val="00A31F6F"/>
    <w:rsid w:val="00A33593"/>
    <w:rsid w:val="00A3448A"/>
    <w:rsid w:val="00A36297"/>
    <w:rsid w:val="00A36CE0"/>
    <w:rsid w:val="00A4084A"/>
    <w:rsid w:val="00A41E2B"/>
    <w:rsid w:val="00A44402"/>
    <w:rsid w:val="00A45B74"/>
    <w:rsid w:val="00A51359"/>
    <w:rsid w:val="00A51830"/>
    <w:rsid w:val="00A52518"/>
    <w:rsid w:val="00A52E1D"/>
    <w:rsid w:val="00A561E1"/>
    <w:rsid w:val="00A575AC"/>
    <w:rsid w:val="00A61499"/>
    <w:rsid w:val="00A62A77"/>
    <w:rsid w:val="00A63483"/>
    <w:rsid w:val="00A657D7"/>
    <w:rsid w:val="00A660AC"/>
    <w:rsid w:val="00A660D7"/>
    <w:rsid w:val="00A67E6C"/>
    <w:rsid w:val="00A71B99"/>
    <w:rsid w:val="00A739D0"/>
    <w:rsid w:val="00A76151"/>
    <w:rsid w:val="00A761D4"/>
    <w:rsid w:val="00A77EC4"/>
    <w:rsid w:val="00A81A11"/>
    <w:rsid w:val="00A81F3B"/>
    <w:rsid w:val="00A83700"/>
    <w:rsid w:val="00A865A8"/>
    <w:rsid w:val="00A879B8"/>
    <w:rsid w:val="00A92879"/>
    <w:rsid w:val="00A9442A"/>
    <w:rsid w:val="00AA016F"/>
    <w:rsid w:val="00AA1ED6"/>
    <w:rsid w:val="00AA2040"/>
    <w:rsid w:val="00AA51D6"/>
    <w:rsid w:val="00AA635A"/>
    <w:rsid w:val="00AA7873"/>
    <w:rsid w:val="00AB0BC8"/>
    <w:rsid w:val="00AB11CA"/>
    <w:rsid w:val="00AB14D9"/>
    <w:rsid w:val="00AB252E"/>
    <w:rsid w:val="00AB38DB"/>
    <w:rsid w:val="00AB4AB8"/>
    <w:rsid w:val="00AB655E"/>
    <w:rsid w:val="00AB7F70"/>
    <w:rsid w:val="00AC007F"/>
    <w:rsid w:val="00AC12DF"/>
    <w:rsid w:val="00AC2ECD"/>
    <w:rsid w:val="00AC3119"/>
    <w:rsid w:val="00AC40EB"/>
    <w:rsid w:val="00AC49FB"/>
    <w:rsid w:val="00AC5A10"/>
    <w:rsid w:val="00AD0AA3"/>
    <w:rsid w:val="00AD2ED0"/>
    <w:rsid w:val="00AD3F94"/>
    <w:rsid w:val="00AD4A5A"/>
    <w:rsid w:val="00AE0CA3"/>
    <w:rsid w:val="00AE27AC"/>
    <w:rsid w:val="00AE40E0"/>
    <w:rsid w:val="00AE4DBA"/>
    <w:rsid w:val="00AE4F07"/>
    <w:rsid w:val="00AE59AB"/>
    <w:rsid w:val="00AE7503"/>
    <w:rsid w:val="00AF1C5D"/>
    <w:rsid w:val="00AF369F"/>
    <w:rsid w:val="00AF4032"/>
    <w:rsid w:val="00AF42D7"/>
    <w:rsid w:val="00AF527F"/>
    <w:rsid w:val="00AF567F"/>
    <w:rsid w:val="00AF5D36"/>
    <w:rsid w:val="00B006FE"/>
    <w:rsid w:val="00B007CB"/>
    <w:rsid w:val="00B02AA9"/>
    <w:rsid w:val="00B02E9F"/>
    <w:rsid w:val="00B02FA3"/>
    <w:rsid w:val="00B05084"/>
    <w:rsid w:val="00B07B74"/>
    <w:rsid w:val="00B127D6"/>
    <w:rsid w:val="00B136C5"/>
    <w:rsid w:val="00B157F9"/>
    <w:rsid w:val="00B16544"/>
    <w:rsid w:val="00B17645"/>
    <w:rsid w:val="00B2012E"/>
    <w:rsid w:val="00B20256"/>
    <w:rsid w:val="00B20D09"/>
    <w:rsid w:val="00B20E99"/>
    <w:rsid w:val="00B22288"/>
    <w:rsid w:val="00B228B9"/>
    <w:rsid w:val="00B234AD"/>
    <w:rsid w:val="00B2763F"/>
    <w:rsid w:val="00B27AAC"/>
    <w:rsid w:val="00B30929"/>
    <w:rsid w:val="00B31174"/>
    <w:rsid w:val="00B31FDD"/>
    <w:rsid w:val="00B32B64"/>
    <w:rsid w:val="00B338F8"/>
    <w:rsid w:val="00B372AA"/>
    <w:rsid w:val="00B40445"/>
    <w:rsid w:val="00B409E0"/>
    <w:rsid w:val="00B41888"/>
    <w:rsid w:val="00B45A52"/>
    <w:rsid w:val="00B46175"/>
    <w:rsid w:val="00B474CA"/>
    <w:rsid w:val="00B475B9"/>
    <w:rsid w:val="00B548B7"/>
    <w:rsid w:val="00B54D0F"/>
    <w:rsid w:val="00B612D1"/>
    <w:rsid w:val="00B616BD"/>
    <w:rsid w:val="00B6532B"/>
    <w:rsid w:val="00B664C7"/>
    <w:rsid w:val="00B739F6"/>
    <w:rsid w:val="00B76BAE"/>
    <w:rsid w:val="00B76F42"/>
    <w:rsid w:val="00B76F8A"/>
    <w:rsid w:val="00B77BC2"/>
    <w:rsid w:val="00B77EB6"/>
    <w:rsid w:val="00B801EA"/>
    <w:rsid w:val="00B813F1"/>
    <w:rsid w:val="00B81A6C"/>
    <w:rsid w:val="00B81F2A"/>
    <w:rsid w:val="00B82178"/>
    <w:rsid w:val="00B83866"/>
    <w:rsid w:val="00B85DE5"/>
    <w:rsid w:val="00B90F73"/>
    <w:rsid w:val="00B93B59"/>
    <w:rsid w:val="00B9406A"/>
    <w:rsid w:val="00B966CC"/>
    <w:rsid w:val="00BA2280"/>
    <w:rsid w:val="00BA2A08"/>
    <w:rsid w:val="00BA56D2"/>
    <w:rsid w:val="00BA76E0"/>
    <w:rsid w:val="00BB0318"/>
    <w:rsid w:val="00BB09BD"/>
    <w:rsid w:val="00BB2682"/>
    <w:rsid w:val="00BB2A25"/>
    <w:rsid w:val="00BB51E9"/>
    <w:rsid w:val="00BB73FE"/>
    <w:rsid w:val="00BB7CFA"/>
    <w:rsid w:val="00BC0720"/>
    <w:rsid w:val="00BC0FDC"/>
    <w:rsid w:val="00BC3053"/>
    <w:rsid w:val="00BC4D2E"/>
    <w:rsid w:val="00BC5088"/>
    <w:rsid w:val="00BC5A8F"/>
    <w:rsid w:val="00BD2672"/>
    <w:rsid w:val="00BD48AC"/>
    <w:rsid w:val="00BD5F1A"/>
    <w:rsid w:val="00BE1234"/>
    <w:rsid w:val="00BE1369"/>
    <w:rsid w:val="00BE2FA6"/>
    <w:rsid w:val="00BE333F"/>
    <w:rsid w:val="00BE48FC"/>
    <w:rsid w:val="00BE620D"/>
    <w:rsid w:val="00BE6C07"/>
    <w:rsid w:val="00BE7406"/>
    <w:rsid w:val="00BE7603"/>
    <w:rsid w:val="00BF113C"/>
    <w:rsid w:val="00BF1207"/>
    <w:rsid w:val="00BF1B20"/>
    <w:rsid w:val="00BF3279"/>
    <w:rsid w:val="00BF5018"/>
    <w:rsid w:val="00BF74C7"/>
    <w:rsid w:val="00C0046D"/>
    <w:rsid w:val="00C00D37"/>
    <w:rsid w:val="00C015F1"/>
    <w:rsid w:val="00C018FF"/>
    <w:rsid w:val="00C019FC"/>
    <w:rsid w:val="00C01F33"/>
    <w:rsid w:val="00C02CC6"/>
    <w:rsid w:val="00C0302F"/>
    <w:rsid w:val="00C040F7"/>
    <w:rsid w:val="00C044AB"/>
    <w:rsid w:val="00C05706"/>
    <w:rsid w:val="00C05F70"/>
    <w:rsid w:val="00C07377"/>
    <w:rsid w:val="00C10478"/>
    <w:rsid w:val="00C11B06"/>
    <w:rsid w:val="00C12107"/>
    <w:rsid w:val="00C14CD9"/>
    <w:rsid w:val="00C14D4B"/>
    <w:rsid w:val="00C154BB"/>
    <w:rsid w:val="00C200D1"/>
    <w:rsid w:val="00C2016F"/>
    <w:rsid w:val="00C22560"/>
    <w:rsid w:val="00C26DB0"/>
    <w:rsid w:val="00C279B5"/>
    <w:rsid w:val="00C27C45"/>
    <w:rsid w:val="00C31C5C"/>
    <w:rsid w:val="00C3491D"/>
    <w:rsid w:val="00C355D6"/>
    <w:rsid w:val="00C36DF8"/>
    <w:rsid w:val="00C3719D"/>
    <w:rsid w:val="00C37CB2"/>
    <w:rsid w:val="00C42032"/>
    <w:rsid w:val="00C4412A"/>
    <w:rsid w:val="00C447BB"/>
    <w:rsid w:val="00C473A5"/>
    <w:rsid w:val="00C511F8"/>
    <w:rsid w:val="00C52507"/>
    <w:rsid w:val="00C52B3F"/>
    <w:rsid w:val="00C54410"/>
    <w:rsid w:val="00C54995"/>
    <w:rsid w:val="00C54D41"/>
    <w:rsid w:val="00C5566F"/>
    <w:rsid w:val="00C561ED"/>
    <w:rsid w:val="00C56B04"/>
    <w:rsid w:val="00C5775F"/>
    <w:rsid w:val="00C57D68"/>
    <w:rsid w:val="00C60783"/>
    <w:rsid w:val="00C613E3"/>
    <w:rsid w:val="00C6232F"/>
    <w:rsid w:val="00C62F2F"/>
    <w:rsid w:val="00C64672"/>
    <w:rsid w:val="00C65C9E"/>
    <w:rsid w:val="00C66745"/>
    <w:rsid w:val="00C6711E"/>
    <w:rsid w:val="00C7053A"/>
    <w:rsid w:val="00C70697"/>
    <w:rsid w:val="00C71CD8"/>
    <w:rsid w:val="00C71F0A"/>
    <w:rsid w:val="00C72093"/>
    <w:rsid w:val="00C72EF4"/>
    <w:rsid w:val="00C7333B"/>
    <w:rsid w:val="00C736D9"/>
    <w:rsid w:val="00C74195"/>
    <w:rsid w:val="00C742AD"/>
    <w:rsid w:val="00C744FE"/>
    <w:rsid w:val="00C75D2F"/>
    <w:rsid w:val="00C767BE"/>
    <w:rsid w:val="00C76E3C"/>
    <w:rsid w:val="00C77733"/>
    <w:rsid w:val="00C77D9E"/>
    <w:rsid w:val="00C809AE"/>
    <w:rsid w:val="00C81568"/>
    <w:rsid w:val="00C82249"/>
    <w:rsid w:val="00C83D0B"/>
    <w:rsid w:val="00C9027A"/>
    <w:rsid w:val="00C9068E"/>
    <w:rsid w:val="00C90B0B"/>
    <w:rsid w:val="00C924EC"/>
    <w:rsid w:val="00C9331E"/>
    <w:rsid w:val="00C93814"/>
    <w:rsid w:val="00C93C4B"/>
    <w:rsid w:val="00C944AB"/>
    <w:rsid w:val="00C94A10"/>
    <w:rsid w:val="00C95B40"/>
    <w:rsid w:val="00C95E15"/>
    <w:rsid w:val="00C96A84"/>
    <w:rsid w:val="00C96EAA"/>
    <w:rsid w:val="00CA15CC"/>
    <w:rsid w:val="00CA1805"/>
    <w:rsid w:val="00CA1ED8"/>
    <w:rsid w:val="00CB1F63"/>
    <w:rsid w:val="00CB412F"/>
    <w:rsid w:val="00CB7170"/>
    <w:rsid w:val="00CB7D75"/>
    <w:rsid w:val="00CC0388"/>
    <w:rsid w:val="00CC040E"/>
    <w:rsid w:val="00CC111F"/>
    <w:rsid w:val="00CC120F"/>
    <w:rsid w:val="00CC2011"/>
    <w:rsid w:val="00CC3686"/>
    <w:rsid w:val="00CC3EA0"/>
    <w:rsid w:val="00CC5001"/>
    <w:rsid w:val="00CC7B45"/>
    <w:rsid w:val="00CD1188"/>
    <w:rsid w:val="00CD2ED1"/>
    <w:rsid w:val="00CD337B"/>
    <w:rsid w:val="00CD4117"/>
    <w:rsid w:val="00CD519F"/>
    <w:rsid w:val="00CD6F28"/>
    <w:rsid w:val="00CD7151"/>
    <w:rsid w:val="00CD7601"/>
    <w:rsid w:val="00CE0424"/>
    <w:rsid w:val="00CE0BB3"/>
    <w:rsid w:val="00CE235E"/>
    <w:rsid w:val="00CE7561"/>
    <w:rsid w:val="00CF0F77"/>
    <w:rsid w:val="00CF1354"/>
    <w:rsid w:val="00CF15E0"/>
    <w:rsid w:val="00CF3B1F"/>
    <w:rsid w:val="00CF3BF6"/>
    <w:rsid w:val="00CF3C99"/>
    <w:rsid w:val="00CF5528"/>
    <w:rsid w:val="00CF625B"/>
    <w:rsid w:val="00CF687E"/>
    <w:rsid w:val="00CF6BAD"/>
    <w:rsid w:val="00CF7EE4"/>
    <w:rsid w:val="00D01433"/>
    <w:rsid w:val="00D0349B"/>
    <w:rsid w:val="00D0643A"/>
    <w:rsid w:val="00D07BC9"/>
    <w:rsid w:val="00D10249"/>
    <w:rsid w:val="00D103A7"/>
    <w:rsid w:val="00D10B82"/>
    <w:rsid w:val="00D115C3"/>
    <w:rsid w:val="00D11897"/>
    <w:rsid w:val="00D13135"/>
    <w:rsid w:val="00D13E4E"/>
    <w:rsid w:val="00D15CDF"/>
    <w:rsid w:val="00D20632"/>
    <w:rsid w:val="00D206C7"/>
    <w:rsid w:val="00D2201A"/>
    <w:rsid w:val="00D22C4C"/>
    <w:rsid w:val="00D239A7"/>
    <w:rsid w:val="00D23F47"/>
    <w:rsid w:val="00D24D9E"/>
    <w:rsid w:val="00D269AD"/>
    <w:rsid w:val="00D27B1A"/>
    <w:rsid w:val="00D33259"/>
    <w:rsid w:val="00D33296"/>
    <w:rsid w:val="00D36B08"/>
    <w:rsid w:val="00D36BFF"/>
    <w:rsid w:val="00D36E71"/>
    <w:rsid w:val="00D370FB"/>
    <w:rsid w:val="00D37B1A"/>
    <w:rsid w:val="00D37D87"/>
    <w:rsid w:val="00D40B33"/>
    <w:rsid w:val="00D40F26"/>
    <w:rsid w:val="00D4138B"/>
    <w:rsid w:val="00D420F0"/>
    <w:rsid w:val="00D4318F"/>
    <w:rsid w:val="00D438BF"/>
    <w:rsid w:val="00D440F8"/>
    <w:rsid w:val="00D546FF"/>
    <w:rsid w:val="00D551CE"/>
    <w:rsid w:val="00D554AB"/>
    <w:rsid w:val="00D55AD5"/>
    <w:rsid w:val="00D5711B"/>
    <w:rsid w:val="00D576CA"/>
    <w:rsid w:val="00D61AF5"/>
    <w:rsid w:val="00D61FAC"/>
    <w:rsid w:val="00D63C42"/>
    <w:rsid w:val="00D652B5"/>
    <w:rsid w:val="00D66155"/>
    <w:rsid w:val="00D708B0"/>
    <w:rsid w:val="00D71F69"/>
    <w:rsid w:val="00D7205A"/>
    <w:rsid w:val="00D723AB"/>
    <w:rsid w:val="00D72771"/>
    <w:rsid w:val="00D733A8"/>
    <w:rsid w:val="00D741AC"/>
    <w:rsid w:val="00D752B1"/>
    <w:rsid w:val="00D75B25"/>
    <w:rsid w:val="00D7615F"/>
    <w:rsid w:val="00D76520"/>
    <w:rsid w:val="00D77B1D"/>
    <w:rsid w:val="00D8021F"/>
    <w:rsid w:val="00D80383"/>
    <w:rsid w:val="00D80434"/>
    <w:rsid w:val="00D823C6"/>
    <w:rsid w:val="00D82B4B"/>
    <w:rsid w:val="00D82BC6"/>
    <w:rsid w:val="00D8327F"/>
    <w:rsid w:val="00D837E8"/>
    <w:rsid w:val="00D86CA3"/>
    <w:rsid w:val="00D871CE"/>
    <w:rsid w:val="00D91200"/>
    <w:rsid w:val="00D9196D"/>
    <w:rsid w:val="00D9280D"/>
    <w:rsid w:val="00D92982"/>
    <w:rsid w:val="00D929C4"/>
    <w:rsid w:val="00D93633"/>
    <w:rsid w:val="00D947BC"/>
    <w:rsid w:val="00DA1DB6"/>
    <w:rsid w:val="00DA305E"/>
    <w:rsid w:val="00DA3E31"/>
    <w:rsid w:val="00DA5417"/>
    <w:rsid w:val="00DA56E8"/>
    <w:rsid w:val="00DB0A9F"/>
    <w:rsid w:val="00DB253F"/>
    <w:rsid w:val="00DB377D"/>
    <w:rsid w:val="00DB3ED0"/>
    <w:rsid w:val="00DB66FB"/>
    <w:rsid w:val="00DB7CA9"/>
    <w:rsid w:val="00DC005B"/>
    <w:rsid w:val="00DC1871"/>
    <w:rsid w:val="00DC2D36"/>
    <w:rsid w:val="00DC3131"/>
    <w:rsid w:val="00DC53EF"/>
    <w:rsid w:val="00DD3200"/>
    <w:rsid w:val="00DD3A9C"/>
    <w:rsid w:val="00DD4789"/>
    <w:rsid w:val="00DD5622"/>
    <w:rsid w:val="00DE1F8F"/>
    <w:rsid w:val="00DE50C3"/>
    <w:rsid w:val="00DE5255"/>
    <w:rsid w:val="00DE5608"/>
    <w:rsid w:val="00DE58D0"/>
    <w:rsid w:val="00DE654F"/>
    <w:rsid w:val="00DE6895"/>
    <w:rsid w:val="00DF0B6E"/>
    <w:rsid w:val="00DF15E0"/>
    <w:rsid w:val="00DF26F8"/>
    <w:rsid w:val="00DF37A0"/>
    <w:rsid w:val="00DF4BDA"/>
    <w:rsid w:val="00DF5994"/>
    <w:rsid w:val="00DF5E0C"/>
    <w:rsid w:val="00E065CA"/>
    <w:rsid w:val="00E06778"/>
    <w:rsid w:val="00E105D0"/>
    <w:rsid w:val="00E110E7"/>
    <w:rsid w:val="00E1120B"/>
    <w:rsid w:val="00E11B20"/>
    <w:rsid w:val="00E149B6"/>
    <w:rsid w:val="00E17FA2"/>
    <w:rsid w:val="00E206F6"/>
    <w:rsid w:val="00E22330"/>
    <w:rsid w:val="00E30B5A"/>
    <w:rsid w:val="00E3123D"/>
    <w:rsid w:val="00E31461"/>
    <w:rsid w:val="00E31D43"/>
    <w:rsid w:val="00E32433"/>
    <w:rsid w:val="00E32608"/>
    <w:rsid w:val="00E32D2E"/>
    <w:rsid w:val="00E33C72"/>
    <w:rsid w:val="00E34188"/>
    <w:rsid w:val="00E343A8"/>
    <w:rsid w:val="00E34B6E"/>
    <w:rsid w:val="00E35559"/>
    <w:rsid w:val="00E36C0C"/>
    <w:rsid w:val="00E3723A"/>
    <w:rsid w:val="00E37860"/>
    <w:rsid w:val="00E37E92"/>
    <w:rsid w:val="00E446F1"/>
    <w:rsid w:val="00E46886"/>
    <w:rsid w:val="00E46BCB"/>
    <w:rsid w:val="00E47208"/>
    <w:rsid w:val="00E47417"/>
    <w:rsid w:val="00E47AEF"/>
    <w:rsid w:val="00E5058E"/>
    <w:rsid w:val="00E53B75"/>
    <w:rsid w:val="00E53EA0"/>
    <w:rsid w:val="00E53FDE"/>
    <w:rsid w:val="00E54E3B"/>
    <w:rsid w:val="00E54EF3"/>
    <w:rsid w:val="00E56FCE"/>
    <w:rsid w:val="00E57565"/>
    <w:rsid w:val="00E57D4F"/>
    <w:rsid w:val="00E6222C"/>
    <w:rsid w:val="00E63838"/>
    <w:rsid w:val="00E64434"/>
    <w:rsid w:val="00E6449C"/>
    <w:rsid w:val="00E667FB"/>
    <w:rsid w:val="00E67C51"/>
    <w:rsid w:val="00E72EFC"/>
    <w:rsid w:val="00E74C92"/>
    <w:rsid w:val="00E758EC"/>
    <w:rsid w:val="00E80BF3"/>
    <w:rsid w:val="00E80E41"/>
    <w:rsid w:val="00E80E52"/>
    <w:rsid w:val="00E8234C"/>
    <w:rsid w:val="00E831E7"/>
    <w:rsid w:val="00E83AA9"/>
    <w:rsid w:val="00E83D23"/>
    <w:rsid w:val="00E8426E"/>
    <w:rsid w:val="00E85928"/>
    <w:rsid w:val="00E85D61"/>
    <w:rsid w:val="00E8664C"/>
    <w:rsid w:val="00E87822"/>
    <w:rsid w:val="00E90395"/>
    <w:rsid w:val="00E90E49"/>
    <w:rsid w:val="00E917F9"/>
    <w:rsid w:val="00E9291C"/>
    <w:rsid w:val="00E938B9"/>
    <w:rsid w:val="00E93FFE"/>
    <w:rsid w:val="00E948B1"/>
    <w:rsid w:val="00E94F8A"/>
    <w:rsid w:val="00E94FE2"/>
    <w:rsid w:val="00EA027F"/>
    <w:rsid w:val="00EA19E7"/>
    <w:rsid w:val="00EA1B70"/>
    <w:rsid w:val="00EA36A7"/>
    <w:rsid w:val="00EA3A6C"/>
    <w:rsid w:val="00EA5386"/>
    <w:rsid w:val="00EA7A41"/>
    <w:rsid w:val="00EB0447"/>
    <w:rsid w:val="00EB0682"/>
    <w:rsid w:val="00EB077B"/>
    <w:rsid w:val="00EB43F0"/>
    <w:rsid w:val="00EB4EA2"/>
    <w:rsid w:val="00EB671F"/>
    <w:rsid w:val="00EC24D5"/>
    <w:rsid w:val="00EC27C6"/>
    <w:rsid w:val="00EC2AAB"/>
    <w:rsid w:val="00EC4207"/>
    <w:rsid w:val="00EC5653"/>
    <w:rsid w:val="00EC71CE"/>
    <w:rsid w:val="00ED05AD"/>
    <w:rsid w:val="00ED1006"/>
    <w:rsid w:val="00ED141B"/>
    <w:rsid w:val="00ED1DB0"/>
    <w:rsid w:val="00ED5C45"/>
    <w:rsid w:val="00EE0479"/>
    <w:rsid w:val="00EE1B4A"/>
    <w:rsid w:val="00EE5135"/>
    <w:rsid w:val="00EE579C"/>
    <w:rsid w:val="00EE6091"/>
    <w:rsid w:val="00EE6758"/>
    <w:rsid w:val="00EF09AD"/>
    <w:rsid w:val="00EF18FE"/>
    <w:rsid w:val="00EF30C4"/>
    <w:rsid w:val="00EF4B38"/>
    <w:rsid w:val="00EF5787"/>
    <w:rsid w:val="00EF60D0"/>
    <w:rsid w:val="00F02C42"/>
    <w:rsid w:val="00F0419D"/>
    <w:rsid w:val="00F04595"/>
    <w:rsid w:val="00F04C7A"/>
    <w:rsid w:val="00F0528D"/>
    <w:rsid w:val="00F06C67"/>
    <w:rsid w:val="00F06DFD"/>
    <w:rsid w:val="00F06F1D"/>
    <w:rsid w:val="00F071D1"/>
    <w:rsid w:val="00F07533"/>
    <w:rsid w:val="00F10629"/>
    <w:rsid w:val="00F136EA"/>
    <w:rsid w:val="00F13EE1"/>
    <w:rsid w:val="00F14C27"/>
    <w:rsid w:val="00F15FA5"/>
    <w:rsid w:val="00F209B7"/>
    <w:rsid w:val="00F2376F"/>
    <w:rsid w:val="00F243D8"/>
    <w:rsid w:val="00F25871"/>
    <w:rsid w:val="00F268A0"/>
    <w:rsid w:val="00F30828"/>
    <w:rsid w:val="00F313D6"/>
    <w:rsid w:val="00F33322"/>
    <w:rsid w:val="00F355D9"/>
    <w:rsid w:val="00F40974"/>
    <w:rsid w:val="00F40F0C"/>
    <w:rsid w:val="00F419B2"/>
    <w:rsid w:val="00F44C08"/>
    <w:rsid w:val="00F45DA2"/>
    <w:rsid w:val="00F462C3"/>
    <w:rsid w:val="00F4766C"/>
    <w:rsid w:val="00F5060E"/>
    <w:rsid w:val="00F507D1"/>
    <w:rsid w:val="00F51573"/>
    <w:rsid w:val="00F51818"/>
    <w:rsid w:val="00F519CE"/>
    <w:rsid w:val="00F51ADA"/>
    <w:rsid w:val="00F568DE"/>
    <w:rsid w:val="00F57C45"/>
    <w:rsid w:val="00F60203"/>
    <w:rsid w:val="00F607C5"/>
    <w:rsid w:val="00F608B7"/>
    <w:rsid w:val="00F60DEA"/>
    <w:rsid w:val="00F6302A"/>
    <w:rsid w:val="00F63711"/>
    <w:rsid w:val="00F63950"/>
    <w:rsid w:val="00F63DCA"/>
    <w:rsid w:val="00F6403C"/>
    <w:rsid w:val="00F643CA"/>
    <w:rsid w:val="00F647F3"/>
    <w:rsid w:val="00F64C2B"/>
    <w:rsid w:val="00F651BE"/>
    <w:rsid w:val="00F67F53"/>
    <w:rsid w:val="00F703BE"/>
    <w:rsid w:val="00F70673"/>
    <w:rsid w:val="00F71F69"/>
    <w:rsid w:val="00F72B72"/>
    <w:rsid w:val="00F74BB9"/>
    <w:rsid w:val="00F75582"/>
    <w:rsid w:val="00F76EFA"/>
    <w:rsid w:val="00F804BE"/>
    <w:rsid w:val="00F80976"/>
    <w:rsid w:val="00F817CE"/>
    <w:rsid w:val="00F83F6A"/>
    <w:rsid w:val="00F8456C"/>
    <w:rsid w:val="00F84A1A"/>
    <w:rsid w:val="00F84CEE"/>
    <w:rsid w:val="00F859D8"/>
    <w:rsid w:val="00F868F5"/>
    <w:rsid w:val="00F87B4D"/>
    <w:rsid w:val="00F9056A"/>
    <w:rsid w:val="00F90F8D"/>
    <w:rsid w:val="00F92782"/>
    <w:rsid w:val="00F93132"/>
    <w:rsid w:val="00F93AA9"/>
    <w:rsid w:val="00F95E5B"/>
    <w:rsid w:val="00F95F52"/>
    <w:rsid w:val="00F96985"/>
    <w:rsid w:val="00F97838"/>
    <w:rsid w:val="00FA295E"/>
    <w:rsid w:val="00FA2BB3"/>
    <w:rsid w:val="00FA31E2"/>
    <w:rsid w:val="00FA3AE4"/>
    <w:rsid w:val="00FA3EBF"/>
    <w:rsid w:val="00FA45D4"/>
    <w:rsid w:val="00FA674C"/>
    <w:rsid w:val="00FB3C5B"/>
    <w:rsid w:val="00FB4C80"/>
    <w:rsid w:val="00FB62CA"/>
    <w:rsid w:val="00FB6A6A"/>
    <w:rsid w:val="00FC2101"/>
    <w:rsid w:val="00FC3B96"/>
    <w:rsid w:val="00FC3BA9"/>
    <w:rsid w:val="00FC656D"/>
    <w:rsid w:val="00FC7429"/>
    <w:rsid w:val="00FD04E8"/>
    <w:rsid w:val="00FD07F6"/>
    <w:rsid w:val="00FD0897"/>
    <w:rsid w:val="00FD1EC8"/>
    <w:rsid w:val="00FD3DAE"/>
    <w:rsid w:val="00FD47ED"/>
    <w:rsid w:val="00FD5F44"/>
    <w:rsid w:val="00FD61B2"/>
    <w:rsid w:val="00FD6299"/>
    <w:rsid w:val="00FD6722"/>
    <w:rsid w:val="00FD74DB"/>
    <w:rsid w:val="00FD7660"/>
    <w:rsid w:val="00FE026F"/>
    <w:rsid w:val="00FE0655"/>
    <w:rsid w:val="00FE1BD9"/>
    <w:rsid w:val="00FE2365"/>
    <w:rsid w:val="00FE2649"/>
    <w:rsid w:val="00FE37D7"/>
    <w:rsid w:val="00FE3918"/>
    <w:rsid w:val="00FE4A48"/>
    <w:rsid w:val="00FE4C7B"/>
    <w:rsid w:val="00FE7336"/>
    <w:rsid w:val="00FE787C"/>
    <w:rsid w:val="00FF17E5"/>
    <w:rsid w:val="00FF45A5"/>
    <w:rsid w:val="00FF4B15"/>
    <w:rsid w:val="00FF5A40"/>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327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3CC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390C5C"/>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0C5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390C5C"/>
    <w:pPr>
      <w:numPr>
        <w:ilvl w:val="2"/>
      </w:numPr>
      <w:spacing w:before="120"/>
      <w:outlineLvl w:val="2"/>
    </w:pPr>
    <w:rPr>
      <w:sz w:val="28"/>
    </w:rPr>
  </w:style>
  <w:style w:type="paragraph" w:styleId="Heading4">
    <w:name w:val="heading 4"/>
    <w:basedOn w:val="Heading3"/>
    <w:next w:val="Normal"/>
    <w:link w:val="Heading4Char"/>
    <w:qFormat/>
    <w:rsid w:val="00390C5C"/>
    <w:pPr>
      <w:numPr>
        <w:ilvl w:val="3"/>
      </w:numPr>
      <w:outlineLvl w:val="3"/>
    </w:pPr>
    <w:rPr>
      <w:sz w:val="24"/>
    </w:rPr>
  </w:style>
  <w:style w:type="paragraph" w:styleId="Heading5">
    <w:name w:val="heading 5"/>
    <w:basedOn w:val="Heading4"/>
    <w:next w:val="Normal"/>
    <w:link w:val="Heading5Char"/>
    <w:qFormat/>
    <w:rsid w:val="00390C5C"/>
    <w:pPr>
      <w:numPr>
        <w:ilvl w:val="4"/>
      </w:numPr>
      <w:outlineLvl w:val="4"/>
    </w:pPr>
    <w:rPr>
      <w:sz w:val="22"/>
    </w:rPr>
  </w:style>
  <w:style w:type="paragraph" w:styleId="Heading6">
    <w:name w:val="heading 6"/>
    <w:basedOn w:val="H6"/>
    <w:next w:val="Normal"/>
    <w:link w:val="Heading6Char"/>
    <w:qFormat/>
    <w:rsid w:val="00390C5C"/>
    <w:pPr>
      <w:numPr>
        <w:ilvl w:val="5"/>
        <w:numId w:val="23"/>
      </w:numPr>
      <w:outlineLvl w:val="5"/>
    </w:pPr>
  </w:style>
  <w:style w:type="paragraph" w:styleId="Heading7">
    <w:name w:val="heading 7"/>
    <w:basedOn w:val="H6"/>
    <w:next w:val="Normal"/>
    <w:link w:val="Heading7Char"/>
    <w:qFormat/>
    <w:rsid w:val="00390C5C"/>
    <w:pPr>
      <w:numPr>
        <w:ilvl w:val="6"/>
        <w:numId w:val="23"/>
      </w:numPr>
      <w:outlineLvl w:val="6"/>
    </w:pPr>
  </w:style>
  <w:style w:type="paragraph" w:styleId="Heading8">
    <w:name w:val="heading 8"/>
    <w:basedOn w:val="Heading1"/>
    <w:next w:val="Normal"/>
    <w:link w:val="Heading8Char"/>
    <w:qFormat/>
    <w:rsid w:val="00390C5C"/>
    <w:pPr>
      <w:numPr>
        <w:ilvl w:val="7"/>
      </w:numPr>
      <w:outlineLvl w:val="7"/>
    </w:pPr>
  </w:style>
  <w:style w:type="paragraph" w:styleId="Heading9">
    <w:name w:val="heading 9"/>
    <w:basedOn w:val="Heading8"/>
    <w:next w:val="Normal"/>
    <w:link w:val="Heading9Char"/>
    <w:qFormat/>
    <w:rsid w:val="00390C5C"/>
    <w:pPr>
      <w:numPr>
        <w:ilvl w:val="8"/>
      </w:numPr>
      <w:outlineLvl w:val="8"/>
    </w:pPr>
  </w:style>
  <w:style w:type="character" w:default="1" w:styleId="DefaultParagraphFont">
    <w:name w:val="Default Paragraph Font"/>
    <w:uiPriority w:val="1"/>
    <w:semiHidden/>
    <w:unhideWhenUsed/>
    <w:rsid w:val="00563C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3CC5"/>
  </w:style>
  <w:style w:type="paragraph" w:styleId="TOC8">
    <w:name w:val="toc 8"/>
    <w:basedOn w:val="TOC1"/>
    <w:uiPriority w:val="39"/>
    <w:rsid w:val="00390C5C"/>
    <w:pPr>
      <w:spacing w:before="180"/>
      <w:ind w:left="2693" w:hanging="2693"/>
    </w:pPr>
    <w:rPr>
      <w:b/>
    </w:rPr>
  </w:style>
  <w:style w:type="paragraph" w:styleId="TOC1">
    <w:name w:val="toc 1"/>
    <w:uiPriority w:val="39"/>
    <w:rsid w:val="00390C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390C5C"/>
    <w:pPr>
      <w:keepNext/>
      <w:keepLines/>
      <w:spacing w:before="180"/>
      <w:jc w:val="center"/>
    </w:pPr>
  </w:style>
  <w:style w:type="paragraph" w:styleId="Caption">
    <w:name w:val="caption"/>
    <w:basedOn w:val="Normal"/>
    <w:next w:val="Normal"/>
    <w:qFormat/>
    <w:rsid w:val="00390C5C"/>
    <w:pPr>
      <w:spacing w:before="120" w:after="120"/>
    </w:pPr>
    <w:rPr>
      <w:b/>
      <w:lang w:eastAsia="en-GB"/>
    </w:rPr>
  </w:style>
  <w:style w:type="paragraph" w:styleId="TOC5">
    <w:name w:val="toc 5"/>
    <w:basedOn w:val="TOC4"/>
    <w:uiPriority w:val="39"/>
    <w:rsid w:val="00390C5C"/>
    <w:pPr>
      <w:ind w:left="1701" w:hanging="1701"/>
    </w:pPr>
  </w:style>
  <w:style w:type="paragraph" w:styleId="TOC4">
    <w:name w:val="toc 4"/>
    <w:basedOn w:val="TOC3"/>
    <w:uiPriority w:val="39"/>
    <w:rsid w:val="00390C5C"/>
    <w:pPr>
      <w:ind w:left="1418" w:hanging="1418"/>
    </w:pPr>
  </w:style>
  <w:style w:type="paragraph" w:styleId="TOC3">
    <w:name w:val="toc 3"/>
    <w:basedOn w:val="TOC2"/>
    <w:uiPriority w:val="39"/>
    <w:rsid w:val="00390C5C"/>
    <w:pPr>
      <w:ind w:left="1134" w:hanging="1134"/>
    </w:pPr>
  </w:style>
  <w:style w:type="paragraph" w:styleId="TOC2">
    <w:name w:val="toc 2"/>
    <w:basedOn w:val="TOC1"/>
    <w:uiPriority w:val="39"/>
    <w:rsid w:val="00390C5C"/>
    <w:pPr>
      <w:keepNext w:val="0"/>
      <w:spacing w:before="0"/>
      <w:ind w:left="851" w:hanging="851"/>
    </w:pPr>
    <w:rPr>
      <w:sz w:val="20"/>
    </w:rPr>
  </w:style>
  <w:style w:type="paragraph" w:styleId="Index2">
    <w:name w:val="index 2"/>
    <w:basedOn w:val="Index1"/>
    <w:rsid w:val="00390C5C"/>
    <w:pPr>
      <w:ind w:left="284"/>
    </w:pPr>
  </w:style>
  <w:style w:type="paragraph" w:styleId="Index1">
    <w:name w:val="index 1"/>
    <w:basedOn w:val="Normal"/>
    <w:rsid w:val="00390C5C"/>
    <w:pPr>
      <w:keepLines/>
    </w:pPr>
  </w:style>
  <w:style w:type="paragraph" w:styleId="DocumentMap">
    <w:name w:val="Document Map"/>
    <w:basedOn w:val="Normal"/>
    <w:link w:val="DocumentMapChar"/>
    <w:rsid w:val="00390C5C"/>
    <w:pPr>
      <w:shd w:val="clear" w:color="auto" w:fill="000080"/>
    </w:pPr>
    <w:rPr>
      <w:rFonts w:ascii="Tahoma" w:hAnsi="Tahoma" w:cs="Tahoma"/>
    </w:rPr>
  </w:style>
  <w:style w:type="paragraph" w:styleId="ListNumber2">
    <w:name w:val="List Number 2"/>
    <w:basedOn w:val="ListNumber"/>
    <w:rsid w:val="00910800"/>
    <w:pPr>
      <w:numPr>
        <w:numId w:val="22"/>
      </w:numPr>
    </w:pPr>
  </w:style>
  <w:style w:type="paragraph" w:styleId="ListNumber">
    <w:name w:val="List Number"/>
    <w:basedOn w:val="List"/>
    <w:rsid w:val="00910800"/>
    <w:pPr>
      <w:numPr>
        <w:numId w:val="21"/>
      </w:numPr>
    </w:pPr>
    <w:rPr>
      <w:lang w:eastAsia="ja-JP"/>
    </w:rPr>
  </w:style>
  <w:style w:type="paragraph" w:styleId="List">
    <w:name w:val="List"/>
    <w:basedOn w:val="BodyText"/>
    <w:rsid w:val="00390C5C"/>
    <w:pPr>
      <w:ind w:left="568" w:hanging="284"/>
    </w:pPr>
  </w:style>
  <w:style w:type="paragraph" w:styleId="Header">
    <w:name w:val="header"/>
    <w:link w:val="HeaderChar"/>
    <w:rsid w:val="00390C5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390C5C"/>
    <w:rPr>
      <w:b/>
      <w:position w:val="6"/>
      <w:sz w:val="16"/>
    </w:rPr>
  </w:style>
  <w:style w:type="paragraph" w:styleId="FootnoteText">
    <w:name w:val="footnote text"/>
    <w:basedOn w:val="Normal"/>
    <w:link w:val="FootnoteTextChar"/>
    <w:rsid w:val="00390C5C"/>
    <w:pPr>
      <w:keepLines/>
      <w:ind w:left="454" w:hanging="454"/>
    </w:pPr>
    <w:rPr>
      <w:sz w:val="16"/>
    </w:rPr>
  </w:style>
  <w:style w:type="paragraph" w:customStyle="1" w:styleId="3GPPHeader">
    <w:name w:val="3GPP_Header"/>
    <w:basedOn w:val="BodyText"/>
    <w:rsid w:val="00390C5C"/>
    <w:pPr>
      <w:tabs>
        <w:tab w:val="left" w:pos="1701"/>
        <w:tab w:val="right" w:pos="9639"/>
      </w:tabs>
      <w:spacing w:after="240"/>
    </w:pPr>
    <w:rPr>
      <w:b/>
    </w:rPr>
  </w:style>
  <w:style w:type="paragraph" w:styleId="TOC9">
    <w:name w:val="toc 9"/>
    <w:basedOn w:val="TOC8"/>
    <w:uiPriority w:val="39"/>
    <w:rsid w:val="00390C5C"/>
    <w:pPr>
      <w:ind w:left="1418" w:hanging="1418"/>
    </w:pPr>
  </w:style>
  <w:style w:type="paragraph" w:styleId="TOC6">
    <w:name w:val="toc 6"/>
    <w:basedOn w:val="TOC5"/>
    <w:next w:val="Normal"/>
    <w:uiPriority w:val="39"/>
    <w:rsid w:val="00390C5C"/>
    <w:pPr>
      <w:ind w:left="1985" w:hanging="1985"/>
    </w:pPr>
  </w:style>
  <w:style w:type="paragraph" w:styleId="TOC7">
    <w:name w:val="toc 7"/>
    <w:basedOn w:val="TOC6"/>
    <w:next w:val="Normal"/>
    <w:uiPriority w:val="39"/>
    <w:rsid w:val="00390C5C"/>
    <w:pPr>
      <w:ind w:left="2268" w:hanging="2268"/>
    </w:pPr>
  </w:style>
  <w:style w:type="paragraph" w:styleId="ListBullet2">
    <w:name w:val="List Bullet 2"/>
    <w:basedOn w:val="ListBullet"/>
    <w:rsid w:val="00910800"/>
    <w:pPr>
      <w:numPr>
        <w:numId w:val="17"/>
      </w:numPr>
    </w:pPr>
  </w:style>
  <w:style w:type="paragraph" w:styleId="ListBullet">
    <w:name w:val="List Bullet"/>
    <w:basedOn w:val="List"/>
    <w:rsid w:val="00910800"/>
    <w:pPr>
      <w:numPr>
        <w:numId w:val="16"/>
      </w:numPr>
    </w:pPr>
    <w:rPr>
      <w:lang w:eastAsia="ja-JP"/>
    </w:rPr>
  </w:style>
  <w:style w:type="paragraph" w:styleId="ListBullet3">
    <w:name w:val="List Bullet 3"/>
    <w:basedOn w:val="ListBullet2"/>
    <w:rsid w:val="00910800"/>
    <w:pPr>
      <w:numPr>
        <w:numId w:val="18"/>
      </w:numPr>
    </w:pPr>
  </w:style>
  <w:style w:type="paragraph" w:customStyle="1" w:styleId="EQ">
    <w:name w:val="EQ"/>
    <w:basedOn w:val="Normal"/>
    <w:next w:val="Normal"/>
    <w:rsid w:val="00390C5C"/>
    <w:pPr>
      <w:keepLines/>
      <w:tabs>
        <w:tab w:val="center" w:pos="4536"/>
        <w:tab w:val="right" w:pos="9072"/>
      </w:tabs>
    </w:pPr>
    <w:rPr>
      <w:noProof/>
    </w:rPr>
  </w:style>
  <w:style w:type="paragraph" w:styleId="List2">
    <w:name w:val="List 2"/>
    <w:basedOn w:val="List"/>
    <w:rsid w:val="00390C5C"/>
    <w:pPr>
      <w:ind w:left="851"/>
    </w:pPr>
    <w:rPr>
      <w:lang w:eastAsia="ja-JP"/>
    </w:rPr>
  </w:style>
  <w:style w:type="paragraph" w:styleId="List3">
    <w:name w:val="List 3"/>
    <w:basedOn w:val="List2"/>
    <w:rsid w:val="00390C5C"/>
    <w:pPr>
      <w:ind w:left="1135"/>
    </w:pPr>
  </w:style>
  <w:style w:type="paragraph" w:styleId="List4">
    <w:name w:val="List 4"/>
    <w:basedOn w:val="List3"/>
    <w:rsid w:val="00390C5C"/>
    <w:pPr>
      <w:ind w:left="1418"/>
    </w:pPr>
  </w:style>
  <w:style w:type="paragraph" w:styleId="List5">
    <w:name w:val="List 5"/>
    <w:basedOn w:val="List4"/>
    <w:rsid w:val="00390C5C"/>
    <w:pPr>
      <w:ind w:left="1702"/>
    </w:pPr>
  </w:style>
  <w:style w:type="paragraph" w:customStyle="1" w:styleId="EditorsNote">
    <w:name w:val="Editor's Note"/>
    <w:basedOn w:val="NO"/>
    <w:link w:val="EditorsNoteChar"/>
    <w:rsid w:val="00390C5C"/>
    <w:rPr>
      <w:color w:val="FF0000"/>
      <w:lang w:val="x-none" w:eastAsia="x-none"/>
    </w:rPr>
  </w:style>
  <w:style w:type="paragraph" w:styleId="ListBullet4">
    <w:name w:val="List Bullet 4"/>
    <w:basedOn w:val="ListBullet3"/>
    <w:rsid w:val="00910800"/>
    <w:pPr>
      <w:numPr>
        <w:numId w:val="19"/>
      </w:numPr>
    </w:pPr>
  </w:style>
  <w:style w:type="paragraph" w:styleId="ListBullet5">
    <w:name w:val="List Bullet 5"/>
    <w:basedOn w:val="ListBullet4"/>
    <w:rsid w:val="00910800"/>
    <w:pPr>
      <w:numPr>
        <w:numId w:val="20"/>
      </w:numPr>
    </w:pPr>
  </w:style>
  <w:style w:type="paragraph" w:styleId="Footer">
    <w:name w:val="footer"/>
    <w:basedOn w:val="Header"/>
    <w:link w:val="FooterChar"/>
    <w:rsid w:val="00390C5C"/>
    <w:pPr>
      <w:jc w:val="center"/>
    </w:pPr>
    <w:rPr>
      <w:i/>
    </w:rPr>
  </w:style>
  <w:style w:type="paragraph" w:customStyle="1" w:styleId="Reference">
    <w:name w:val="Reference"/>
    <w:basedOn w:val="BodyText"/>
    <w:link w:val="ReferenceChar"/>
    <w:qFormat/>
    <w:rsid w:val="00390C5C"/>
    <w:pPr>
      <w:numPr>
        <w:numId w:val="2"/>
      </w:numPr>
    </w:pPr>
  </w:style>
  <w:style w:type="paragraph" w:styleId="BalloonText">
    <w:name w:val="Balloon Text"/>
    <w:basedOn w:val="Normal"/>
    <w:link w:val="BalloonTextChar"/>
    <w:rsid w:val="00390C5C"/>
    <w:rPr>
      <w:rFonts w:ascii="Segoe UI" w:hAnsi="Segoe UI" w:cs="Segoe UI"/>
      <w:sz w:val="18"/>
      <w:szCs w:val="18"/>
    </w:rPr>
  </w:style>
  <w:style w:type="character" w:styleId="PageNumber">
    <w:name w:val="page number"/>
    <w:basedOn w:val="DefaultParagraphFont"/>
    <w:rsid w:val="00390C5C"/>
  </w:style>
  <w:style w:type="paragraph" w:styleId="BodyText">
    <w:name w:val="Body Text"/>
    <w:basedOn w:val="Normal"/>
    <w:link w:val="BodyTextChar"/>
    <w:qFormat/>
    <w:rsid w:val="00390C5C"/>
    <w:pPr>
      <w:spacing w:after="120"/>
      <w:jc w:val="both"/>
    </w:pPr>
    <w:rPr>
      <w:rFonts w:ascii="Arial" w:hAnsi="Arial"/>
    </w:rPr>
  </w:style>
  <w:style w:type="character" w:styleId="Hyperlink">
    <w:name w:val="Hyperlink"/>
    <w:uiPriority w:val="99"/>
    <w:rsid w:val="00390C5C"/>
    <w:rPr>
      <w:color w:val="0000FF"/>
      <w:u w:val="single"/>
    </w:rPr>
  </w:style>
  <w:style w:type="character" w:styleId="FollowedHyperlink">
    <w:name w:val="FollowedHyperlink"/>
    <w:unhideWhenUsed/>
    <w:rsid w:val="00390C5C"/>
    <w:rPr>
      <w:color w:val="800080"/>
      <w:u w:val="single"/>
    </w:rPr>
  </w:style>
  <w:style w:type="character" w:styleId="CommentReference">
    <w:name w:val="annotation reference"/>
    <w:uiPriority w:val="99"/>
    <w:qFormat/>
    <w:rsid w:val="00390C5C"/>
    <w:rPr>
      <w:sz w:val="16"/>
      <w:szCs w:val="16"/>
    </w:rPr>
  </w:style>
  <w:style w:type="paragraph" w:styleId="CommentText">
    <w:name w:val="annotation text"/>
    <w:basedOn w:val="Normal"/>
    <w:link w:val="CommentTextChar"/>
    <w:uiPriority w:val="99"/>
    <w:qFormat/>
    <w:rsid w:val="00390C5C"/>
  </w:style>
  <w:style w:type="paragraph" w:styleId="CommentSubject">
    <w:name w:val="annotation subject"/>
    <w:basedOn w:val="CommentText"/>
    <w:next w:val="CommentText"/>
    <w:link w:val="CommentSubjectChar"/>
    <w:rsid w:val="00390C5C"/>
    <w:rPr>
      <w:b/>
      <w:bCs/>
    </w:rPr>
  </w:style>
  <w:style w:type="character" w:customStyle="1" w:styleId="Heading1Char">
    <w:name w:val="Heading 1 Char"/>
    <w:link w:val="Heading1"/>
    <w:rsid w:val="00390C5C"/>
    <w:rPr>
      <w:rFonts w:ascii="Arial" w:eastAsia="Times New Roman" w:hAnsi="Arial"/>
      <w:sz w:val="36"/>
      <w:lang w:eastAsia="ja-JP"/>
    </w:rPr>
  </w:style>
  <w:style w:type="paragraph" w:customStyle="1" w:styleId="B1">
    <w:name w:val="B1"/>
    <w:basedOn w:val="List"/>
    <w:link w:val="B1Char1"/>
    <w:rsid w:val="00390C5C"/>
    <w:rPr>
      <w:rFonts w:ascii="Times New Roman" w:hAnsi="Times New Roman"/>
    </w:rPr>
  </w:style>
  <w:style w:type="paragraph" w:customStyle="1" w:styleId="B2">
    <w:name w:val="B2"/>
    <w:basedOn w:val="List2"/>
    <w:link w:val="B2Char"/>
    <w:rsid w:val="00390C5C"/>
    <w:rPr>
      <w:rFonts w:ascii="Times New Roman" w:hAnsi="Times New Roman"/>
    </w:rPr>
  </w:style>
  <w:style w:type="paragraph" w:customStyle="1" w:styleId="B3">
    <w:name w:val="B3"/>
    <w:basedOn w:val="List3"/>
    <w:link w:val="B3Char2"/>
    <w:rsid w:val="00390C5C"/>
    <w:rPr>
      <w:rFonts w:ascii="Times New Roman" w:hAnsi="Times New Roman"/>
    </w:rPr>
  </w:style>
  <w:style w:type="paragraph" w:customStyle="1" w:styleId="B4">
    <w:name w:val="B4"/>
    <w:basedOn w:val="List4"/>
    <w:link w:val="B4Char"/>
    <w:rsid w:val="00390C5C"/>
    <w:rPr>
      <w:rFonts w:ascii="Times New Roman" w:hAnsi="Times New Roman"/>
    </w:rPr>
  </w:style>
  <w:style w:type="paragraph" w:customStyle="1" w:styleId="Proposal">
    <w:name w:val="Proposal"/>
    <w:basedOn w:val="BodyText"/>
    <w:qFormat/>
    <w:rsid w:val="00910800"/>
    <w:pPr>
      <w:numPr>
        <w:numId w:val="3"/>
      </w:numPr>
      <w:tabs>
        <w:tab w:val="clear" w:pos="1304"/>
        <w:tab w:val="left" w:pos="1701"/>
      </w:tabs>
      <w:ind w:left="1701" w:hanging="1701"/>
    </w:pPr>
    <w:rPr>
      <w:b/>
      <w:bCs/>
    </w:rPr>
  </w:style>
  <w:style w:type="character" w:customStyle="1" w:styleId="BodyTextChar">
    <w:name w:val="Body Text Char"/>
    <w:link w:val="BodyText"/>
    <w:rsid w:val="00390C5C"/>
    <w:rPr>
      <w:rFonts w:ascii="Arial" w:eastAsia="Times New Roman" w:hAnsi="Arial"/>
      <w:lang w:eastAsia="zh-CN"/>
    </w:rPr>
  </w:style>
  <w:style w:type="paragraph" w:customStyle="1" w:styleId="B5">
    <w:name w:val="B5"/>
    <w:basedOn w:val="List5"/>
    <w:link w:val="B5Char"/>
    <w:rsid w:val="00390C5C"/>
    <w:rPr>
      <w:rFonts w:ascii="Times New Roman" w:hAnsi="Times New Roman"/>
    </w:rPr>
  </w:style>
  <w:style w:type="paragraph" w:customStyle="1" w:styleId="EX">
    <w:name w:val="EX"/>
    <w:basedOn w:val="Normal"/>
    <w:rsid w:val="00390C5C"/>
    <w:pPr>
      <w:keepLines/>
      <w:ind w:left="1702" w:hanging="1418"/>
    </w:pPr>
  </w:style>
  <w:style w:type="paragraph" w:customStyle="1" w:styleId="EW">
    <w:name w:val="EW"/>
    <w:basedOn w:val="EX"/>
    <w:rsid w:val="00390C5C"/>
  </w:style>
  <w:style w:type="paragraph" w:customStyle="1" w:styleId="TAL">
    <w:name w:val="TAL"/>
    <w:basedOn w:val="Normal"/>
    <w:link w:val="TALCar"/>
    <w:rsid w:val="00390C5C"/>
    <w:pPr>
      <w:keepNext/>
      <w:keepLines/>
    </w:pPr>
    <w:rPr>
      <w:rFonts w:ascii="Arial" w:hAnsi="Arial"/>
      <w:sz w:val="18"/>
      <w:lang w:val="x-none" w:eastAsia="x-none"/>
    </w:rPr>
  </w:style>
  <w:style w:type="paragraph" w:customStyle="1" w:styleId="TAC">
    <w:name w:val="TAC"/>
    <w:basedOn w:val="TAL"/>
    <w:rsid w:val="00390C5C"/>
    <w:pPr>
      <w:jc w:val="center"/>
    </w:pPr>
  </w:style>
  <w:style w:type="paragraph" w:customStyle="1" w:styleId="TAH">
    <w:name w:val="TAH"/>
    <w:basedOn w:val="TAC"/>
    <w:link w:val="TAHCar"/>
    <w:rsid w:val="00390C5C"/>
    <w:rPr>
      <w:b/>
    </w:rPr>
  </w:style>
  <w:style w:type="paragraph" w:customStyle="1" w:styleId="TAN">
    <w:name w:val="TAN"/>
    <w:basedOn w:val="TAL"/>
    <w:rsid w:val="00390C5C"/>
    <w:pPr>
      <w:ind w:left="851" w:hanging="851"/>
    </w:pPr>
  </w:style>
  <w:style w:type="paragraph" w:customStyle="1" w:styleId="TAR">
    <w:name w:val="TAR"/>
    <w:basedOn w:val="TAL"/>
    <w:rsid w:val="00390C5C"/>
    <w:pPr>
      <w:jc w:val="right"/>
    </w:pPr>
  </w:style>
  <w:style w:type="paragraph" w:customStyle="1" w:styleId="TH">
    <w:name w:val="TH"/>
    <w:basedOn w:val="Normal"/>
    <w:link w:val="THChar"/>
    <w:rsid w:val="00390C5C"/>
    <w:pPr>
      <w:keepNext/>
      <w:keepLines/>
      <w:spacing w:before="60"/>
      <w:jc w:val="center"/>
    </w:pPr>
    <w:rPr>
      <w:rFonts w:ascii="Arial" w:hAnsi="Arial"/>
      <w:b/>
      <w:lang w:val="x-none" w:eastAsia="x-none"/>
    </w:rPr>
  </w:style>
  <w:style w:type="paragraph" w:customStyle="1" w:styleId="TF">
    <w:name w:val="TF"/>
    <w:basedOn w:val="TH"/>
    <w:link w:val="TFChar"/>
    <w:rsid w:val="00390C5C"/>
    <w:pPr>
      <w:keepNext w:val="0"/>
      <w:spacing w:before="0" w:after="240"/>
    </w:pPr>
  </w:style>
  <w:style w:type="paragraph" w:customStyle="1" w:styleId="TT">
    <w:name w:val="TT"/>
    <w:basedOn w:val="Heading1"/>
    <w:next w:val="Normal"/>
    <w:rsid w:val="00390C5C"/>
    <w:pPr>
      <w:numPr>
        <w:numId w:val="0"/>
      </w:numPr>
      <w:ind w:left="1134" w:hanging="1134"/>
      <w:outlineLvl w:val="9"/>
    </w:pPr>
  </w:style>
  <w:style w:type="paragraph" w:customStyle="1" w:styleId="ZA">
    <w:name w:val="ZA"/>
    <w:rsid w:val="00390C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0C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390C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390C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390C5C"/>
  </w:style>
  <w:style w:type="paragraph" w:customStyle="1" w:styleId="ZH">
    <w:name w:val="ZH"/>
    <w:rsid w:val="00390C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390C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910800"/>
    <w:pPr>
      <w:framePr w:hRule="auto" w:wrap="notBeside" w:y="852"/>
    </w:pPr>
    <w:rPr>
      <w:i w:val="0"/>
      <w:sz w:val="40"/>
    </w:rPr>
  </w:style>
  <w:style w:type="paragraph" w:customStyle="1" w:styleId="ZU">
    <w:name w:val="ZU"/>
    <w:rsid w:val="00390C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10800"/>
    <w:pPr>
      <w:framePr w:wrap="notBeside" w:y="16161"/>
    </w:pPr>
  </w:style>
  <w:style w:type="paragraph" w:customStyle="1" w:styleId="FP">
    <w:name w:val="FP"/>
    <w:basedOn w:val="Normal"/>
    <w:rsid w:val="00390C5C"/>
  </w:style>
  <w:style w:type="paragraph" w:customStyle="1" w:styleId="Observation">
    <w:name w:val="Observation"/>
    <w:basedOn w:val="Proposal"/>
    <w:qFormat/>
    <w:rsid w:val="00910800"/>
    <w:pPr>
      <w:numPr>
        <w:numId w:val="13"/>
      </w:numPr>
      <w:ind w:left="1701" w:hanging="1701"/>
    </w:pPr>
    <w:rPr>
      <w:lang w:eastAsia="ja-JP"/>
    </w:rPr>
  </w:style>
  <w:style w:type="paragraph" w:styleId="TableofFigures">
    <w:name w:val="table of figures"/>
    <w:basedOn w:val="BodyText"/>
    <w:next w:val="Normal"/>
    <w:uiPriority w:val="99"/>
    <w:rsid w:val="00390C5C"/>
    <w:pPr>
      <w:ind w:left="1701" w:hanging="1701"/>
      <w:jc w:val="left"/>
    </w:pPr>
    <w:rPr>
      <w:b/>
    </w:rPr>
  </w:style>
  <w:style w:type="character" w:customStyle="1" w:styleId="B1Char1">
    <w:name w:val="B1 Char1"/>
    <w:link w:val="B1"/>
    <w:qFormat/>
    <w:rsid w:val="00390C5C"/>
    <w:rPr>
      <w:rFonts w:ascii="Times New Roman" w:eastAsia="Times New Roman" w:hAnsi="Times New Roman"/>
      <w:lang w:eastAsia="zh-CN"/>
    </w:rPr>
  </w:style>
  <w:style w:type="character" w:customStyle="1" w:styleId="B2Char">
    <w:name w:val="B2 Char"/>
    <w:link w:val="B2"/>
    <w:qFormat/>
    <w:rsid w:val="00390C5C"/>
    <w:rPr>
      <w:rFonts w:ascii="Times New Roman" w:eastAsia="Times New Roman" w:hAnsi="Times New Roman"/>
      <w:lang w:eastAsia="ja-JP"/>
    </w:rPr>
  </w:style>
  <w:style w:type="character" w:customStyle="1" w:styleId="B3Char2">
    <w:name w:val="B3 Char2"/>
    <w:link w:val="B3"/>
    <w:qFormat/>
    <w:rsid w:val="00390C5C"/>
    <w:rPr>
      <w:rFonts w:ascii="Times New Roman" w:eastAsia="Times New Roman" w:hAnsi="Times New Roman"/>
      <w:lang w:eastAsia="ja-JP"/>
    </w:rPr>
  </w:style>
  <w:style w:type="character" w:customStyle="1" w:styleId="B4Char">
    <w:name w:val="B4 Char"/>
    <w:link w:val="B4"/>
    <w:rsid w:val="00390C5C"/>
    <w:rPr>
      <w:rFonts w:ascii="Times New Roman" w:eastAsia="Times New Roman" w:hAnsi="Times New Roman"/>
      <w:lang w:eastAsia="ja-JP"/>
    </w:rPr>
  </w:style>
  <w:style w:type="character" w:customStyle="1" w:styleId="B5Char">
    <w:name w:val="B5 Char"/>
    <w:link w:val="B5"/>
    <w:rsid w:val="00390C5C"/>
    <w:rPr>
      <w:rFonts w:ascii="Times New Roman" w:eastAsia="Times New Roman" w:hAnsi="Times New Roman"/>
      <w:lang w:eastAsia="ja-JP"/>
    </w:rPr>
  </w:style>
  <w:style w:type="paragraph" w:customStyle="1" w:styleId="B6">
    <w:name w:val="B6"/>
    <w:basedOn w:val="B5"/>
    <w:link w:val="B6Char"/>
    <w:rsid w:val="00390C5C"/>
    <w:pPr>
      <w:ind w:left="1985"/>
    </w:pPr>
  </w:style>
  <w:style w:type="character" w:customStyle="1" w:styleId="B6Char">
    <w:name w:val="B6 Char"/>
    <w:link w:val="B6"/>
    <w:rsid w:val="00390C5C"/>
    <w:rPr>
      <w:rFonts w:ascii="Times New Roman" w:eastAsia="Times New Roman" w:hAnsi="Times New Roman"/>
      <w:lang w:eastAsia="ja-JP"/>
    </w:rPr>
  </w:style>
  <w:style w:type="paragraph" w:customStyle="1" w:styleId="B7">
    <w:name w:val="B7"/>
    <w:basedOn w:val="B6"/>
    <w:link w:val="B7Char"/>
    <w:rsid w:val="00390C5C"/>
    <w:pPr>
      <w:ind w:left="2269"/>
    </w:pPr>
  </w:style>
  <w:style w:type="character" w:customStyle="1" w:styleId="B7Char">
    <w:name w:val="B7 Char"/>
    <w:basedOn w:val="B6Char"/>
    <w:link w:val="B7"/>
    <w:rsid w:val="00390C5C"/>
    <w:rPr>
      <w:rFonts w:ascii="Times New Roman" w:eastAsia="Times New Roman" w:hAnsi="Times New Roman"/>
      <w:lang w:eastAsia="ja-JP"/>
    </w:rPr>
  </w:style>
  <w:style w:type="paragraph" w:customStyle="1" w:styleId="B8">
    <w:name w:val="B8"/>
    <w:basedOn w:val="B7"/>
    <w:qFormat/>
    <w:rsid w:val="00390C5C"/>
    <w:pPr>
      <w:ind w:left="2552"/>
    </w:pPr>
  </w:style>
  <w:style w:type="character" w:customStyle="1" w:styleId="BalloonTextChar">
    <w:name w:val="Balloon Text Char"/>
    <w:link w:val="BalloonText"/>
    <w:rsid w:val="00390C5C"/>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390C5C"/>
    <w:rPr>
      <w:rFonts w:ascii="Times New Roman" w:eastAsia="Times New Roman" w:hAnsi="Times New Roman"/>
      <w:lang w:eastAsia="ja-JP"/>
    </w:rPr>
  </w:style>
  <w:style w:type="character" w:customStyle="1" w:styleId="CommentSubjectChar">
    <w:name w:val="Comment Subject Char"/>
    <w:link w:val="CommentSubject"/>
    <w:rsid w:val="00390C5C"/>
    <w:rPr>
      <w:rFonts w:ascii="Times New Roman" w:eastAsia="Times New Roman" w:hAnsi="Times New Roman"/>
      <w:b/>
      <w:bCs/>
      <w:lang w:eastAsia="ja-JP"/>
    </w:rPr>
  </w:style>
  <w:style w:type="paragraph" w:customStyle="1" w:styleId="CRCoverPage">
    <w:name w:val="CR Cover Page"/>
    <w:link w:val="CRCoverPageZchn"/>
    <w:rsid w:val="00390C5C"/>
    <w:pPr>
      <w:spacing w:after="120"/>
    </w:pPr>
    <w:rPr>
      <w:rFonts w:ascii="Arial" w:eastAsia="Times New Roman" w:hAnsi="Arial"/>
      <w:lang w:eastAsia="ko-KR"/>
    </w:rPr>
  </w:style>
  <w:style w:type="character" w:customStyle="1" w:styleId="CRCoverPageZchn">
    <w:name w:val="CR Cover Page Zchn"/>
    <w:link w:val="CRCoverPage"/>
    <w:rsid w:val="00390C5C"/>
    <w:rPr>
      <w:rFonts w:ascii="Arial" w:eastAsia="Times New Roman" w:hAnsi="Arial"/>
      <w:lang w:eastAsia="ko-KR"/>
    </w:rPr>
  </w:style>
  <w:style w:type="paragraph" w:customStyle="1" w:styleId="Doc-text2">
    <w:name w:val="Doc-text2"/>
    <w:basedOn w:val="Normal"/>
    <w:link w:val="Doc-text2Char"/>
    <w:qFormat/>
    <w:rsid w:val="00390C5C"/>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390C5C"/>
    <w:rPr>
      <w:rFonts w:ascii="Arial" w:eastAsia="MS Mincho" w:hAnsi="Arial"/>
      <w:szCs w:val="24"/>
      <w:lang w:val="x-none" w:eastAsia="x-none"/>
    </w:rPr>
  </w:style>
  <w:style w:type="character" w:customStyle="1" w:styleId="DocumentMapChar">
    <w:name w:val="Document Map Char"/>
    <w:link w:val="DocumentMap"/>
    <w:rsid w:val="00390C5C"/>
    <w:rPr>
      <w:rFonts w:ascii="Tahoma" w:eastAsia="Times New Roman" w:hAnsi="Tahoma" w:cs="Tahoma"/>
      <w:shd w:val="clear" w:color="auto" w:fill="000080"/>
      <w:lang w:eastAsia="ja-JP"/>
    </w:rPr>
  </w:style>
  <w:style w:type="paragraph" w:customStyle="1" w:styleId="NO">
    <w:name w:val="NO"/>
    <w:basedOn w:val="Normal"/>
    <w:link w:val="NOChar"/>
    <w:rsid w:val="00390C5C"/>
    <w:pPr>
      <w:keepLines/>
      <w:ind w:left="1135" w:hanging="851"/>
    </w:pPr>
  </w:style>
  <w:style w:type="character" w:customStyle="1" w:styleId="NOChar">
    <w:name w:val="NO Char"/>
    <w:link w:val="NO"/>
    <w:qFormat/>
    <w:rsid w:val="00390C5C"/>
    <w:rPr>
      <w:rFonts w:ascii="Times New Roman" w:eastAsia="Times New Roman" w:hAnsi="Times New Roman"/>
      <w:lang w:eastAsia="ja-JP"/>
    </w:rPr>
  </w:style>
  <w:style w:type="character" w:customStyle="1" w:styleId="EditorsNoteChar">
    <w:name w:val="Editor's Note Char"/>
    <w:link w:val="EditorsNote"/>
    <w:rsid w:val="00390C5C"/>
    <w:rPr>
      <w:rFonts w:ascii="Times New Roman" w:eastAsia="Times New Roman" w:hAnsi="Times New Roman"/>
      <w:color w:val="FF0000"/>
      <w:lang w:val="x-none" w:eastAsia="x-none"/>
    </w:rPr>
  </w:style>
  <w:style w:type="paragraph" w:customStyle="1" w:styleId="EmailDiscussion">
    <w:name w:val="EmailDiscussion"/>
    <w:basedOn w:val="Normal"/>
    <w:next w:val="Normal"/>
    <w:rsid w:val="00910800"/>
    <w:pPr>
      <w:numPr>
        <w:numId w:val="14"/>
      </w:numPr>
      <w:spacing w:before="40"/>
    </w:pPr>
    <w:rPr>
      <w:rFonts w:ascii="Arial" w:eastAsia="MS Mincho" w:hAnsi="Arial"/>
      <w:b/>
      <w:lang w:eastAsia="en-GB"/>
    </w:rPr>
  </w:style>
  <w:style w:type="character" w:styleId="Emphasis">
    <w:name w:val="Emphasis"/>
    <w:qFormat/>
    <w:rsid w:val="00390C5C"/>
    <w:rPr>
      <w:i/>
      <w:iCs/>
    </w:rPr>
  </w:style>
  <w:style w:type="paragraph" w:customStyle="1" w:styleId="FigureTitle">
    <w:name w:val="Figure_Title"/>
    <w:basedOn w:val="Normal"/>
    <w:next w:val="Normal"/>
    <w:rsid w:val="00390C5C"/>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390C5C"/>
    <w:rPr>
      <w:rFonts w:ascii="Arial" w:eastAsia="Times New Roman" w:hAnsi="Arial"/>
      <w:b/>
      <w:noProof/>
      <w:sz w:val="18"/>
      <w:lang w:eastAsia="ja-JP"/>
    </w:rPr>
  </w:style>
  <w:style w:type="character" w:customStyle="1" w:styleId="FooterChar">
    <w:name w:val="Footer Char"/>
    <w:link w:val="Footer"/>
    <w:rsid w:val="00390C5C"/>
    <w:rPr>
      <w:rFonts w:ascii="Arial" w:eastAsia="Times New Roman" w:hAnsi="Arial"/>
      <w:b/>
      <w:i/>
      <w:noProof/>
      <w:sz w:val="18"/>
      <w:lang w:eastAsia="ja-JP"/>
    </w:rPr>
  </w:style>
  <w:style w:type="character" w:customStyle="1" w:styleId="FootnoteTextChar">
    <w:name w:val="Footnote Text Char"/>
    <w:link w:val="FootnoteText"/>
    <w:rsid w:val="00390C5C"/>
    <w:rPr>
      <w:rFonts w:ascii="Times New Roman" w:eastAsia="Times New Roman" w:hAnsi="Times New Roman"/>
      <w:sz w:val="16"/>
      <w:lang w:eastAsia="ja-JP"/>
    </w:rPr>
  </w:style>
  <w:style w:type="paragraph" w:customStyle="1" w:styleId="Guidance">
    <w:name w:val="Guidance"/>
    <w:basedOn w:val="Normal"/>
    <w:rsid w:val="00390C5C"/>
    <w:rPr>
      <w:i/>
      <w:color w:val="0000FF"/>
    </w:rPr>
  </w:style>
  <w:style w:type="character" w:customStyle="1" w:styleId="Heading2Char">
    <w:name w:val="Heading 2 Char"/>
    <w:link w:val="Heading2"/>
    <w:rsid w:val="00390C5C"/>
    <w:rPr>
      <w:rFonts w:ascii="Arial" w:eastAsia="Times New Roman" w:hAnsi="Arial"/>
      <w:sz w:val="32"/>
      <w:lang w:eastAsia="ja-JP"/>
    </w:rPr>
  </w:style>
  <w:style w:type="character" w:customStyle="1" w:styleId="Heading3Char">
    <w:name w:val="Heading 3 Char"/>
    <w:link w:val="Heading3"/>
    <w:rsid w:val="00390C5C"/>
    <w:rPr>
      <w:rFonts w:ascii="Arial" w:eastAsia="Times New Roman" w:hAnsi="Arial"/>
      <w:sz w:val="28"/>
      <w:lang w:eastAsia="ja-JP"/>
    </w:rPr>
  </w:style>
  <w:style w:type="character" w:customStyle="1" w:styleId="Heading4Char">
    <w:name w:val="Heading 4 Char"/>
    <w:link w:val="Heading4"/>
    <w:rsid w:val="00390C5C"/>
    <w:rPr>
      <w:rFonts w:ascii="Arial" w:eastAsia="Times New Roman" w:hAnsi="Arial"/>
      <w:sz w:val="24"/>
      <w:lang w:eastAsia="ja-JP"/>
    </w:rPr>
  </w:style>
  <w:style w:type="character" w:customStyle="1" w:styleId="Heading5Char">
    <w:name w:val="Heading 5 Char"/>
    <w:link w:val="Heading5"/>
    <w:rsid w:val="00390C5C"/>
    <w:rPr>
      <w:rFonts w:ascii="Arial" w:eastAsia="Times New Roman" w:hAnsi="Arial"/>
      <w:sz w:val="22"/>
      <w:lang w:eastAsia="ja-JP"/>
    </w:rPr>
  </w:style>
  <w:style w:type="paragraph" w:customStyle="1" w:styleId="H6">
    <w:name w:val="H6"/>
    <w:basedOn w:val="Heading5"/>
    <w:next w:val="Normal"/>
    <w:rsid w:val="00390C5C"/>
    <w:pPr>
      <w:numPr>
        <w:ilvl w:val="0"/>
        <w:numId w:val="0"/>
      </w:numPr>
      <w:ind w:left="1985" w:hanging="1985"/>
      <w:outlineLvl w:val="9"/>
    </w:pPr>
    <w:rPr>
      <w:sz w:val="20"/>
    </w:rPr>
  </w:style>
  <w:style w:type="character" w:customStyle="1" w:styleId="Heading6Char">
    <w:name w:val="Heading 6 Char"/>
    <w:link w:val="Heading6"/>
    <w:rsid w:val="00390C5C"/>
    <w:rPr>
      <w:rFonts w:ascii="Arial" w:eastAsia="Times New Roman" w:hAnsi="Arial"/>
      <w:lang w:eastAsia="ja-JP"/>
    </w:rPr>
  </w:style>
  <w:style w:type="character" w:customStyle="1" w:styleId="Heading7Char">
    <w:name w:val="Heading 7 Char"/>
    <w:link w:val="Heading7"/>
    <w:rsid w:val="00390C5C"/>
    <w:rPr>
      <w:rFonts w:ascii="Arial" w:eastAsia="Times New Roman" w:hAnsi="Arial"/>
      <w:lang w:eastAsia="ja-JP"/>
    </w:rPr>
  </w:style>
  <w:style w:type="character" w:customStyle="1" w:styleId="Heading8Char">
    <w:name w:val="Heading 8 Char"/>
    <w:link w:val="Heading8"/>
    <w:rsid w:val="00390C5C"/>
    <w:rPr>
      <w:rFonts w:ascii="Arial" w:eastAsia="Times New Roman" w:hAnsi="Arial"/>
      <w:sz w:val="36"/>
      <w:lang w:eastAsia="ja-JP"/>
    </w:rPr>
  </w:style>
  <w:style w:type="character" w:customStyle="1" w:styleId="Heading9Char">
    <w:name w:val="Heading 9 Char"/>
    <w:link w:val="Heading9"/>
    <w:rsid w:val="00390C5C"/>
    <w:rPr>
      <w:rFonts w:ascii="Arial" w:eastAsia="Times New Roman" w:hAnsi="Arial"/>
      <w:sz w:val="36"/>
      <w:lang w:eastAsia="ja-JP"/>
    </w:rPr>
  </w:style>
  <w:style w:type="character" w:styleId="HTMLCode">
    <w:name w:val="HTML Code"/>
    <w:uiPriority w:val="99"/>
    <w:unhideWhenUsed/>
    <w:rsid w:val="00390C5C"/>
    <w:rPr>
      <w:rFonts w:ascii="Courier New" w:eastAsia="Times New Roman" w:hAnsi="Courier New" w:cs="Courier New"/>
      <w:sz w:val="20"/>
      <w:szCs w:val="20"/>
    </w:rPr>
  </w:style>
  <w:style w:type="paragraph" w:styleId="IndexHeading">
    <w:name w:val="index heading"/>
    <w:basedOn w:val="Normal"/>
    <w:next w:val="Normal"/>
    <w:rsid w:val="00390C5C"/>
    <w:pPr>
      <w:pBdr>
        <w:top w:val="single" w:sz="12" w:space="0" w:color="auto"/>
      </w:pBdr>
      <w:spacing w:before="360" w:after="240"/>
    </w:pPr>
    <w:rPr>
      <w:b/>
      <w:i/>
      <w:sz w:val="26"/>
      <w:lang w:eastAsia="en-GB"/>
    </w:rPr>
  </w:style>
  <w:style w:type="paragraph" w:customStyle="1" w:styleId="LD">
    <w:name w:val="LD"/>
    <w:rsid w:val="00390C5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910800"/>
    <w:pPr>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390C5C"/>
    <w:rPr>
      <w:rFonts w:ascii="Calibri" w:eastAsia="Calibri" w:hAnsi="Calibri" w:cstheme="minorBidi"/>
      <w:sz w:val="24"/>
      <w:szCs w:val="24"/>
      <w:lang w:val="x-none" w:eastAsia="en-US"/>
    </w:rPr>
  </w:style>
  <w:style w:type="paragraph" w:customStyle="1" w:styleId="NF">
    <w:name w:val="NF"/>
    <w:basedOn w:val="NO"/>
    <w:rsid w:val="00390C5C"/>
    <w:pPr>
      <w:keepNext/>
    </w:pPr>
    <w:rPr>
      <w:rFonts w:ascii="Arial" w:hAnsi="Arial"/>
      <w:sz w:val="18"/>
    </w:rPr>
  </w:style>
  <w:style w:type="paragraph" w:customStyle="1" w:styleId="NW">
    <w:name w:val="NW"/>
    <w:basedOn w:val="NO"/>
    <w:rsid w:val="00390C5C"/>
  </w:style>
  <w:style w:type="paragraph" w:customStyle="1" w:styleId="PL">
    <w:name w:val="PL"/>
    <w:link w:val="PLChar"/>
    <w:qFormat/>
    <w:rsid w:val="00390C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90C5C"/>
    <w:rPr>
      <w:rFonts w:ascii="Courier New" w:eastAsia="Batang" w:hAnsi="Courier New"/>
      <w:noProof/>
      <w:sz w:val="16"/>
      <w:shd w:val="clear" w:color="auto" w:fill="E6E6E6"/>
      <w:lang w:eastAsia="sv-SE"/>
    </w:rPr>
  </w:style>
  <w:style w:type="paragraph" w:styleId="PlainText">
    <w:name w:val="Plain Text"/>
    <w:basedOn w:val="Normal"/>
    <w:link w:val="PlainTextChar"/>
    <w:rsid w:val="00390C5C"/>
    <w:rPr>
      <w:rFonts w:ascii="Courier New" w:hAnsi="Courier New"/>
      <w:lang w:val="nb-NO"/>
    </w:rPr>
  </w:style>
  <w:style w:type="character" w:customStyle="1" w:styleId="PlainTextChar">
    <w:name w:val="Plain Text Char"/>
    <w:link w:val="PlainText"/>
    <w:rsid w:val="00390C5C"/>
    <w:rPr>
      <w:rFonts w:ascii="Courier New" w:eastAsia="Times New Roman" w:hAnsi="Courier New"/>
      <w:lang w:val="nb-NO" w:eastAsia="ja-JP"/>
    </w:rPr>
  </w:style>
  <w:style w:type="character" w:styleId="Strong">
    <w:name w:val="Strong"/>
    <w:uiPriority w:val="22"/>
    <w:qFormat/>
    <w:rsid w:val="00390C5C"/>
    <w:rPr>
      <w:b/>
      <w:bCs/>
    </w:rPr>
  </w:style>
  <w:style w:type="table" w:styleId="TableGrid">
    <w:name w:val="Table Grid"/>
    <w:basedOn w:val="TableNormal"/>
    <w:uiPriority w:val="39"/>
    <w:rsid w:val="00390C5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90C5C"/>
    <w:rPr>
      <w:rFonts w:ascii="Arial" w:eastAsia="Times New Roman" w:hAnsi="Arial"/>
      <w:sz w:val="18"/>
      <w:lang w:val="x-none" w:eastAsia="x-none"/>
    </w:rPr>
  </w:style>
  <w:style w:type="character" w:customStyle="1" w:styleId="TAHCar">
    <w:name w:val="TAH Car"/>
    <w:link w:val="TAH"/>
    <w:locked/>
    <w:rsid w:val="00390C5C"/>
    <w:rPr>
      <w:rFonts w:ascii="Arial" w:eastAsia="Times New Roman" w:hAnsi="Arial"/>
      <w:b/>
      <w:sz w:val="18"/>
      <w:lang w:val="x-none" w:eastAsia="x-none"/>
    </w:rPr>
  </w:style>
  <w:style w:type="character" w:customStyle="1" w:styleId="THChar">
    <w:name w:val="TH Char"/>
    <w:link w:val="TH"/>
    <w:rsid w:val="00390C5C"/>
    <w:rPr>
      <w:rFonts w:ascii="Arial" w:eastAsia="Times New Roman" w:hAnsi="Arial"/>
      <w:b/>
      <w:lang w:val="x-none" w:eastAsia="x-none"/>
    </w:rPr>
  </w:style>
  <w:style w:type="paragraph" w:customStyle="1" w:styleId="TAJ">
    <w:name w:val="TAJ"/>
    <w:basedOn w:val="TH"/>
    <w:rsid w:val="00390C5C"/>
  </w:style>
  <w:style w:type="paragraph" w:customStyle="1" w:styleId="TALCharChar">
    <w:name w:val="TAL Char Char"/>
    <w:basedOn w:val="Normal"/>
    <w:link w:val="TALCharCharChar"/>
    <w:rsid w:val="00390C5C"/>
    <w:pPr>
      <w:keepNext/>
      <w:keepLines/>
    </w:pPr>
    <w:rPr>
      <w:rFonts w:ascii="Arial" w:eastAsia="Malgun Gothic" w:hAnsi="Arial"/>
      <w:sz w:val="18"/>
      <w:lang w:val="x-none" w:eastAsia="x-none"/>
    </w:rPr>
  </w:style>
  <w:style w:type="character" w:customStyle="1" w:styleId="TALCharCharChar">
    <w:name w:val="TAL Char Char Char"/>
    <w:link w:val="TALCharChar"/>
    <w:rsid w:val="00390C5C"/>
    <w:rPr>
      <w:rFonts w:ascii="Arial" w:eastAsia="Malgun Gothic" w:hAnsi="Arial"/>
      <w:sz w:val="18"/>
      <w:lang w:val="x-none" w:eastAsia="x-none"/>
    </w:rPr>
  </w:style>
  <w:style w:type="character" w:customStyle="1" w:styleId="TFChar">
    <w:name w:val="TF Char"/>
    <w:link w:val="TF"/>
    <w:rsid w:val="00390C5C"/>
    <w:rPr>
      <w:rFonts w:ascii="Arial" w:eastAsia="Times New Roman" w:hAnsi="Arial"/>
      <w:b/>
      <w:lang w:val="x-none" w:eastAsia="x-none"/>
    </w:rPr>
  </w:style>
  <w:style w:type="paragraph" w:styleId="ListContinue">
    <w:name w:val="List Continue"/>
    <w:basedOn w:val="Normal"/>
    <w:rsid w:val="00390C5C"/>
    <w:pPr>
      <w:spacing w:after="120"/>
      <w:ind w:left="283"/>
      <w:contextualSpacing/>
    </w:pPr>
    <w:rPr>
      <w:rFonts w:ascii="Arial" w:hAnsi="Arial"/>
    </w:rPr>
  </w:style>
  <w:style w:type="paragraph" w:styleId="ListContinue2">
    <w:name w:val="List Continue 2"/>
    <w:basedOn w:val="Normal"/>
    <w:rsid w:val="00390C5C"/>
    <w:pPr>
      <w:spacing w:after="120"/>
      <w:ind w:left="566"/>
      <w:contextualSpacing/>
    </w:pPr>
    <w:rPr>
      <w:rFonts w:ascii="Arial" w:hAnsi="Arial"/>
    </w:rPr>
  </w:style>
  <w:style w:type="paragraph" w:styleId="ListNumber3">
    <w:name w:val="List Number 3"/>
    <w:basedOn w:val="ListNumber2"/>
    <w:rsid w:val="00910800"/>
    <w:pPr>
      <w:numPr>
        <w:numId w:val="10"/>
      </w:numPr>
      <w:contextualSpacing/>
    </w:pPr>
  </w:style>
  <w:style w:type="character" w:customStyle="1" w:styleId="ReferenceChar">
    <w:name w:val="Reference Char"/>
    <w:link w:val="Reference"/>
    <w:rsid w:val="006C483D"/>
    <w:rPr>
      <w:rFonts w:ascii="Arial" w:eastAsia="Times New Roman" w:hAnsi="Arial"/>
      <w:lang w:eastAsia="zh-CN"/>
    </w:rPr>
  </w:style>
  <w:style w:type="character" w:customStyle="1" w:styleId="IvDbodytextChar">
    <w:name w:val="IvD bodytext Char"/>
    <w:basedOn w:val="DefaultParagraphFont"/>
    <w:link w:val="IvDbodytext"/>
    <w:locked/>
    <w:rsid w:val="00A36CE0"/>
    <w:rPr>
      <w:rFonts w:ascii="Arial" w:eastAsiaTheme="minorHAnsi" w:hAnsi="Arial" w:cs="Arial"/>
      <w:spacing w:val="2"/>
      <w:sz w:val="24"/>
      <w:szCs w:val="24"/>
    </w:rPr>
  </w:style>
  <w:style w:type="paragraph" w:customStyle="1" w:styleId="IvDbodytext">
    <w:name w:val="IvD bodytext"/>
    <w:basedOn w:val="BodyText"/>
    <w:link w:val="IvDbodytextChar"/>
    <w:qFormat/>
    <w:rsid w:val="00A36CE0"/>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paragraph" w:styleId="Revision">
    <w:name w:val="Revision"/>
    <w:hidden/>
    <w:uiPriority w:val="99"/>
    <w:semiHidden/>
    <w:rsid w:val="0095698B"/>
    <w:rPr>
      <w:rFonts w:ascii="Arial" w:hAnsi="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948856">
      <w:bodyDiv w:val="1"/>
      <w:marLeft w:val="0"/>
      <w:marRight w:val="0"/>
      <w:marTop w:val="0"/>
      <w:marBottom w:val="0"/>
      <w:divBdr>
        <w:top w:val="none" w:sz="0" w:space="0" w:color="auto"/>
        <w:left w:val="none" w:sz="0" w:space="0" w:color="auto"/>
        <w:bottom w:val="none" w:sz="0" w:space="0" w:color="auto"/>
        <w:right w:val="none" w:sz="0" w:space="0" w:color="auto"/>
      </w:divBdr>
    </w:div>
    <w:div w:id="16888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6638</Words>
  <Characters>35185</Characters>
  <Application>Microsoft Office Word</Application>
  <DocSecurity>0</DocSecurity>
  <Lines>293</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2021-01-18T21:54:00Z</dcterms:created>
  <dcterms:modified xsi:type="dcterms:W3CDTF">2021-01-18T22:04:00Z</dcterms:modified>
  <cp:category/>
</cp:coreProperties>
</file>